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D3DCD">
      <w:pPr>
        <w:spacing w:line="360" w:lineRule="auto"/>
        <w:ind w:firstLine="2240" w:firstLineChars="400"/>
        <w:rPr>
          <w:rFonts w:hint="eastAsia"/>
          <w:spacing w:val="20"/>
          <w:sz w:val="52"/>
          <w:szCs w:val="52"/>
        </w:rPr>
      </w:pPr>
    </w:p>
    <w:p w14:paraId="1B7B6CC6">
      <w:pPr>
        <w:spacing w:line="360" w:lineRule="auto"/>
        <w:jc w:val="center"/>
        <w:rPr>
          <w:rFonts w:ascii="黑体" w:hAnsi="黑体" w:eastAsia="黑体" w:cs="黑体"/>
          <w:b/>
          <w:bCs/>
          <w:sz w:val="72"/>
          <w:szCs w:val="72"/>
        </w:rPr>
      </w:pPr>
      <w:r>
        <w:rPr>
          <w:rFonts w:hint="eastAsia"/>
          <w:b/>
          <w:bCs/>
          <w:spacing w:val="20"/>
          <w:sz w:val="72"/>
          <w:szCs w:val="72"/>
        </w:rPr>
        <w:t>内蒙古标准化协会</w:t>
      </w:r>
    </w:p>
    <w:p w14:paraId="3A194537">
      <w:pPr>
        <w:spacing w:line="360" w:lineRule="auto"/>
        <w:ind w:firstLine="602" w:firstLineChars="200"/>
        <w:jc w:val="center"/>
        <w:rPr>
          <w:rFonts w:ascii="黑体" w:hAnsi="黑体" w:eastAsia="黑体" w:cs="黑体"/>
          <w:b/>
          <w:sz w:val="30"/>
          <w:szCs w:val="30"/>
        </w:rPr>
      </w:pPr>
    </w:p>
    <w:p w14:paraId="35EA5FCE">
      <w:pPr>
        <w:spacing w:line="360" w:lineRule="auto"/>
        <w:ind w:firstLine="602" w:firstLineChars="200"/>
        <w:jc w:val="center"/>
        <w:rPr>
          <w:rFonts w:ascii="黑体" w:hAnsi="黑体" w:eastAsia="黑体" w:cs="黑体"/>
          <w:b/>
          <w:sz w:val="30"/>
          <w:szCs w:val="30"/>
        </w:rPr>
      </w:pPr>
    </w:p>
    <w:p w14:paraId="341A649C">
      <w:pPr>
        <w:spacing w:after="240"/>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w:t>
      </w:r>
      <w:r>
        <w:rPr>
          <w:rFonts w:hint="eastAsia" w:ascii="黑体" w:hAnsi="黑体" w:eastAsia="黑体" w:cs="黑体"/>
          <w:b/>
          <w:bCs/>
          <w:color w:val="000000"/>
          <w:kern w:val="0"/>
          <w:sz w:val="44"/>
          <w:szCs w:val="44"/>
          <w:lang w:val="en-US" w:eastAsia="zh-CN"/>
        </w:rPr>
        <w:t>内蒙古优势特色农畜产品品质评价管理技术规范  小米</w:t>
      </w:r>
      <w:r>
        <w:rPr>
          <w:rFonts w:hint="eastAsia" w:ascii="黑体" w:hAnsi="黑体" w:eastAsia="黑体" w:cs="黑体"/>
          <w:b/>
          <w:bCs/>
          <w:color w:val="000000"/>
          <w:kern w:val="0"/>
          <w:sz w:val="44"/>
          <w:szCs w:val="44"/>
        </w:rPr>
        <w:t>》</w:t>
      </w:r>
    </w:p>
    <w:p w14:paraId="1F180511">
      <w:pPr>
        <w:spacing w:after="240" w:line="360" w:lineRule="auto"/>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编制说明</w:t>
      </w:r>
    </w:p>
    <w:p w14:paraId="660DC720">
      <w:pPr>
        <w:spacing w:line="360" w:lineRule="auto"/>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w:t>
      </w:r>
      <w:r>
        <w:rPr>
          <w:rFonts w:hint="eastAsia" w:ascii="黑体" w:hAnsi="黑体" w:eastAsia="黑体" w:cs="黑体"/>
          <w:b/>
          <w:bCs/>
          <w:color w:val="000000"/>
          <w:kern w:val="0"/>
          <w:sz w:val="44"/>
          <w:szCs w:val="44"/>
          <w:lang w:val="en-US" w:eastAsia="zh-CN"/>
        </w:rPr>
        <w:t>征求意见稿</w:t>
      </w:r>
      <w:r>
        <w:rPr>
          <w:rFonts w:hint="eastAsia" w:ascii="黑体" w:hAnsi="黑体" w:eastAsia="黑体" w:cs="黑体"/>
          <w:b/>
          <w:bCs/>
          <w:color w:val="000000"/>
          <w:kern w:val="0"/>
          <w:sz w:val="44"/>
          <w:szCs w:val="44"/>
        </w:rPr>
        <w:t>）</w:t>
      </w:r>
    </w:p>
    <w:p w14:paraId="36CB98F4">
      <w:pPr>
        <w:spacing w:line="360" w:lineRule="auto"/>
        <w:ind w:firstLine="602" w:firstLineChars="200"/>
        <w:jc w:val="center"/>
        <w:rPr>
          <w:rFonts w:ascii="黑体" w:hAnsi="黑体" w:eastAsia="黑体" w:cs="黑体"/>
          <w:b/>
          <w:sz w:val="30"/>
          <w:szCs w:val="30"/>
        </w:rPr>
      </w:pPr>
    </w:p>
    <w:p w14:paraId="55257580">
      <w:pPr>
        <w:spacing w:line="360" w:lineRule="auto"/>
        <w:ind w:firstLine="602" w:firstLineChars="200"/>
        <w:jc w:val="center"/>
        <w:rPr>
          <w:rFonts w:ascii="黑体" w:hAnsi="黑体" w:eastAsia="黑体" w:cs="黑体"/>
          <w:b/>
          <w:sz w:val="30"/>
          <w:szCs w:val="30"/>
        </w:rPr>
      </w:pPr>
    </w:p>
    <w:p w14:paraId="1E1873A3">
      <w:pPr>
        <w:spacing w:line="360" w:lineRule="auto"/>
        <w:ind w:firstLine="602" w:firstLineChars="200"/>
        <w:jc w:val="center"/>
        <w:rPr>
          <w:rFonts w:ascii="黑体" w:hAnsi="黑体" w:eastAsia="黑体" w:cs="黑体"/>
          <w:b/>
          <w:sz w:val="30"/>
          <w:szCs w:val="30"/>
        </w:rPr>
      </w:pPr>
    </w:p>
    <w:p w14:paraId="3D7D73C3">
      <w:pPr>
        <w:spacing w:line="360" w:lineRule="auto"/>
        <w:ind w:firstLine="602" w:firstLineChars="200"/>
        <w:jc w:val="center"/>
        <w:rPr>
          <w:rFonts w:ascii="黑体" w:hAnsi="黑体" w:eastAsia="黑体" w:cs="黑体"/>
          <w:b/>
          <w:sz w:val="30"/>
          <w:szCs w:val="30"/>
        </w:rPr>
      </w:pPr>
    </w:p>
    <w:p w14:paraId="263049AD">
      <w:pPr>
        <w:spacing w:line="360" w:lineRule="auto"/>
        <w:ind w:firstLine="602" w:firstLineChars="200"/>
        <w:jc w:val="center"/>
        <w:rPr>
          <w:rFonts w:ascii="黑体" w:hAnsi="黑体" w:eastAsia="黑体" w:cs="黑体"/>
          <w:b/>
          <w:sz w:val="30"/>
          <w:szCs w:val="30"/>
        </w:rPr>
      </w:pPr>
    </w:p>
    <w:p w14:paraId="0DB525EC">
      <w:pPr>
        <w:spacing w:line="360" w:lineRule="auto"/>
        <w:jc w:val="both"/>
        <w:rPr>
          <w:rFonts w:ascii="黑体" w:hAnsi="黑体" w:eastAsia="黑体" w:cs="黑体"/>
          <w:b/>
          <w:sz w:val="30"/>
          <w:szCs w:val="30"/>
        </w:rPr>
      </w:pPr>
    </w:p>
    <w:p w14:paraId="00556DA2">
      <w:pPr>
        <w:spacing w:line="360" w:lineRule="auto"/>
        <w:ind w:firstLine="602" w:firstLineChars="200"/>
        <w:jc w:val="center"/>
        <w:rPr>
          <w:rFonts w:ascii="黑体" w:hAnsi="黑体" w:eastAsia="黑体" w:cs="黑体"/>
          <w:b/>
          <w:sz w:val="30"/>
          <w:szCs w:val="30"/>
        </w:rPr>
      </w:pPr>
    </w:p>
    <w:p w14:paraId="44EF6298">
      <w:pPr>
        <w:spacing w:line="360" w:lineRule="auto"/>
        <w:ind w:firstLine="602" w:firstLineChars="200"/>
        <w:jc w:val="center"/>
        <w:rPr>
          <w:rFonts w:ascii="黑体" w:hAnsi="黑体" w:eastAsia="黑体" w:cs="黑体"/>
          <w:b/>
          <w:sz w:val="30"/>
          <w:szCs w:val="30"/>
        </w:rPr>
      </w:pPr>
    </w:p>
    <w:p w14:paraId="7C5B5D86">
      <w:pPr>
        <w:spacing w:line="360" w:lineRule="auto"/>
        <w:jc w:val="center"/>
        <w:rPr>
          <w:rFonts w:ascii="黑体" w:hAnsi="黑体" w:eastAsia="黑体" w:cs="黑体"/>
          <w:b w:val="0"/>
          <w:bCs/>
          <w:sz w:val="32"/>
          <w:szCs w:val="32"/>
        </w:rPr>
      </w:pPr>
      <w:r>
        <w:rPr>
          <w:rFonts w:hint="eastAsia" w:ascii="黑体" w:hAnsi="黑体" w:eastAsia="黑体" w:cs="黑体"/>
          <w:b w:val="0"/>
          <w:bCs/>
          <w:sz w:val="32"/>
          <w:szCs w:val="32"/>
          <w:lang w:val="en-US" w:eastAsia="zh-CN"/>
        </w:rPr>
        <w:t>标准</w:t>
      </w:r>
      <w:r>
        <w:rPr>
          <w:rFonts w:hint="eastAsia" w:ascii="黑体" w:hAnsi="黑体" w:eastAsia="黑体" w:cs="黑体"/>
          <w:b w:val="0"/>
          <w:bCs/>
          <w:sz w:val="32"/>
          <w:szCs w:val="32"/>
        </w:rPr>
        <w:t>起草组</w:t>
      </w:r>
    </w:p>
    <w:p w14:paraId="1C6D07C7">
      <w:pPr>
        <w:spacing w:line="360" w:lineRule="auto"/>
        <w:jc w:val="center"/>
        <w:rPr>
          <w:rFonts w:ascii="黑体" w:hAnsi="黑体" w:eastAsia="黑体" w:cs="黑体"/>
          <w:b w:val="0"/>
          <w:bCs/>
          <w:sz w:val="32"/>
          <w:szCs w:val="32"/>
        </w:rPr>
      </w:pPr>
      <w:r>
        <w:rPr>
          <w:rFonts w:hint="eastAsia" w:ascii="黑体" w:hAnsi="黑体" w:eastAsia="黑体" w:cs="黑体"/>
          <w:b w:val="0"/>
          <w:bCs/>
          <w:sz w:val="32"/>
          <w:szCs w:val="32"/>
        </w:rPr>
        <w:t>20</w:t>
      </w:r>
      <w:r>
        <w:rPr>
          <w:rFonts w:ascii="黑体" w:hAnsi="黑体" w:eastAsia="黑体" w:cs="黑体"/>
          <w:b w:val="0"/>
          <w:bCs/>
          <w:sz w:val="32"/>
          <w:szCs w:val="32"/>
        </w:rPr>
        <w:t>2</w:t>
      </w: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年</w:t>
      </w:r>
      <w:r>
        <w:rPr>
          <w:rFonts w:hint="eastAsia" w:ascii="黑体" w:hAnsi="黑体" w:eastAsia="黑体" w:cs="黑体"/>
          <w:b w:val="0"/>
          <w:bCs/>
          <w:sz w:val="32"/>
          <w:szCs w:val="32"/>
          <w:lang w:val="en-US" w:eastAsia="zh-CN"/>
        </w:rPr>
        <w:t>12</w:t>
      </w:r>
      <w:r>
        <w:rPr>
          <w:rFonts w:hint="eastAsia" w:ascii="黑体" w:hAnsi="黑体" w:eastAsia="黑体" w:cs="黑体"/>
          <w:b w:val="0"/>
          <w:bCs/>
          <w:sz w:val="32"/>
          <w:szCs w:val="32"/>
        </w:rPr>
        <w:t>月</w:t>
      </w:r>
    </w:p>
    <w:p w14:paraId="21E7A589">
      <w:pPr>
        <w:spacing w:line="360" w:lineRule="auto"/>
        <w:ind w:firstLine="602" w:firstLineChars="200"/>
        <w:rPr>
          <w:rFonts w:ascii="黑体" w:hAnsi="黑体" w:eastAsia="黑体" w:cs="黑体"/>
          <w:b/>
          <w:sz w:val="30"/>
          <w:szCs w:val="30"/>
        </w:rPr>
      </w:pPr>
      <w:r>
        <w:rPr>
          <w:rFonts w:hint="eastAsia" w:ascii="黑体" w:hAnsi="黑体" w:eastAsia="黑体" w:cs="黑体"/>
          <w:b/>
          <w:sz w:val="30"/>
          <w:szCs w:val="30"/>
        </w:rPr>
        <w:t xml:space="preserve"> </w:t>
      </w:r>
      <w:r>
        <w:rPr>
          <w:rFonts w:ascii="黑体" w:hAnsi="黑体" w:eastAsia="黑体" w:cs="黑体"/>
          <w:b/>
          <w:sz w:val="30"/>
          <w:szCs w:val="30"/>
        </w:rPr>
        <w:t xml:space="preserve">                       </w:t>
      </w:r>
    </w:p>
    <w:p w14:paraId="68904558">
      <w:pPr>
        <w:jc w:val="center"/>
        <w:rPr>
          <w:rFonts w:asciiTheme="minorEastAsia" w:hAnsiTheme="minorEastAsia"/>
          <w:b/>
          <w:sz w:val="36"/>
          <w:szCs w:val="36"/>
        </w:rPr>
      </w:pPr>
    </w:p>
    <w:p w14:paraId="73361493">
      <w:pPr>
        <w:jc w:val="center"/>
        <w:rPr>
          <w:rFonts w:asciiTheme="minorEastAsia" w:hAnsiTheme="minorEastAsia"/>
          <w:b/>
          <w:sz w:val="36"/>
          <w:szCs w:val="36"/>
        </w:rPr>
      </w:pPr>
      <w:r>
        <w:rPr>
          <w:rFonts w:hint="eastAsia" w:asciiTheme="minorEastAsia" w:hAnsiTheme="minorEastAsia"/>
          <w:b/>
          <w:sz w:val="36"/>
          <w:szCs w:val="36"/>
        </w:rPr>
        <w:t>《</w:t>
      </w:r>
      <w:r>
        <w:rPr>
          <w:rFonts w:hint="eastAsia" w:asciiTheme="minorEastAsia" w:hAnsiTheme="minorEastAsia"/>
          <w:b/>
          <w:sz w:val="36"/>
          <w:szCs w:val="36"/>
          <w:lang w:val="en-US" w:eastAsia="zh-CN"/>
        </w:rPr>
        <w:t>内蒙古优势特色农畜产品品质评价管理技术规范  小米</w:t>
      </w:r>
      <w:r>
        <w:rPr>
          <w:rFonts w:hint="eastAsia" w:asciiTheme="minorEastAsia" w:hAnsiTheme="minorEastAsia"/>
          <w:b/>
          <w:sz w:val="36"/>
          <w:szCs w:val="36"/>
        </w:rPr>
        <w:t>》编制说明</w:t>
      </w:r>
    </w:p>
    <w:p w14:paraId="55ED0196">
      <w:pPr>
        <w:keepNext w:val="0"/>
        <w:keepLines w:val="0"/>
        <w:pageBreakBefore w:val="0"/>
        <w:kinsoku/>
        <w:wordWrap/>
        <w:overflowPunct/>
        <w:topLinePunct w:val="0"/>
        <w:bidi w:val="0"/>
        <w:adjustRightInd/>
        <w:snapToGrid/>
        <w:ind w:firstLine="602" w:firstLineChars="200"/>
        <w:textAlignment w:val="auto"/>
        <w:rPr>
          <w:rFonts w:ascii="仿宋" w:hAnsi="仿宋" w:eastAsia="仿宋"/>
          <w:b/>
          <w:sz w:val="30"/>
          <w:szCs w:val="30"/>
        </w:rPr>
      </w:pPr>
      <w:r>
        <w:rPr>
          <w:rFonts w:hint="eastAsia" w:ascii="仿宋" w:hAnsi="仿宋" w:eastAsia="仿宋"/>
          <w:b/>
          <w:sz w:val="30"/>
          <w:szCs w:val="30"/>
        </w:rPr>
        <w:t>一、工作简况</w:t>
      </w:r>
    </w:p>
    <w:p w14:paraId="3E58EE25">
      <w:pPr>
        <w:keepNext w:val="0"/>
        <w:keepLines w:val="0"/>
        <w:pageBreakBefore w:val="0"/>
        <w:kinsoku/>
        <w:wordWrap/>
        <w:overflowPunct/>
        <w:topLinePunct w:val="0"/>
        <w:bidi w:val="0"/>
        <w:adjustRightInd/>
        <w:snapToGrid/>
        <w:spacing w:line="560" w:lineRule="exact"/>
        <w:ind w:firstLine="562" w:firstLineChars="200"/>
        <w:textAlignment w:val="auto"/>
        <w:rPr>
          <w:rFonts w:hint="default" w:ascii="仿宋" w:hAnsi="仿宋" w:eastAsia="仿宋"/>
          <w:b/>
          <w:sz w:val="28"/>
          <w:szCs w:val="28"/>
          <w:lang w:val="en-US" w:eastAsia="zh-CN"/>
        </w:rPr>
      </w:pPr>
      <w:r>
        <w:rPr>
          <w:rFonts w:hint="eastAsia" w:ascii="仿宋" w:hAnsi="仿宋" w:eastAsia="仿宋"/>
          <w:b/>
          <w:sz w:val="28"/>
          <w:szCs w:val="28"/>
        </w:rPr>
        <w:t>1、任务来源</w:t>
      </w:r>
      <w:r>
        <w:rPr>
          <w:rFonts w:hint="eastAsia" w:ascii="仿宋" w:hAnsi="仿宋" w:eastAsia="仿宋"/>
          <w:b/>
          <w:sz w:val="28"/>
          <w:szCs w:val="28"/>
          <w:lang w:val="en-US" w:eastAsia="zh-CN"/>
        </w:rPr>
        <w:t xml:space="preserve">                                                                                                                                                        </w:t>
      </w:r>
    </w:p>
    <w:p w14:paraId="00B8BB18">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lang w:val="en-US" w:eastAsia="zh-CN"/>
        </w:rPr>
        <w:t>本标准根据“内蒙古标准化协会关于下达2024年第5批3项团体标准制修订项目的通知”（内标协〔2024〕017号）要求，开展标准制修订工作，计划项目名称为《内蒙古优势特色农畜产品品质评价管理技术规范  小米》。本标准的提出单位为内蒙古自治区农牧厅。归口单位为</w:t>
      </w:r>
      <w:r>
        <w:rPr>
          <w:rFonts w:hint="eastAsia" w:ascii="仿宋" w:hAnsi="仿宋" w:eastAsia="仿宋" w:cstheme="minorBidi"/>
          <w:kern w:val="2"/>
          <w:sz w:val="28"/>
          <w:szCs w:val="28"/>
          <w:lang w:val="en-US" w:eastAsia="zh-CN" w:bidi="ar-SA"/>
        </w:rPr>
        <w:t>内蒙古标准化协会。</w:t>
      </w:r>
    </w:p>
    <w:p w14:paraId="70B97042">
      <w:pPr>
        <w:keepNext w:val="0"/>
        <w:keepLines w:val="0"/>
        <w:pageBreakBefore w:val="0"/>
        <w:kinsoku/>
        <w:wordWrap/>
        <w:overflowPunct/>
        <w:topLinePunct w:val="0"/>
        <w:bidi w:val="0"/>
        <w:adjustRightInd/>
        <w:snapToGrid/>
        <w:spacing w:line="560" w:lineRule="exact"/>
        <w:ind w:firstLine="562" w:firstLineChars="200"/>
        <w:textAlignment w:val="auto"/>
        <w:rPr>
          <w:rFonts w:ascii="仿宋" w:hAnsi="仿宋" w:eastAsia="仿宋"/>
          <w:b/>
          <w:sz w:val="28"/>
          <w:szCs w:val="28"/>
        </w:rPr>
      </w:pPr>
      <w:r>
        <w:rPr>
          <w:rFonts w:hint="eastAsia" w:ascii="仿宋" w:hAnsi="仿宋" w:eastAsia="仿宋"/>
          <w:b/>
          <w:sz w:val="28"/>
          <w:szCs w:val="28"/>
        </w:rPr>
        <w:t>2、起草单位及协作单位</w:t>
      </w:r>
    </w:p>
    <w:p w14:paraId="5DA7FDD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起草单位：</w:t>
      </w:r>
      <w:r>
        <w:rPr>
          <w:rFonts w:hint="eastAsia" w:ascii="仿宋" w:hAnsi="仿宋" w:eastAsia="仿宋"/>
          <w:sz w:val="28"/>
          <w:szCs w:val="28"/>
          <w:lang w:val="en-US" w:eastAsia="zh-CN"/>
        </w:rPr>
        <w:t>内蒙古自治区农牧厅、内蒙古自治区农畜产品质量安全中心。</w:t>
      </w:r>
    </w:p>
    <w:p w14:paraId="01CD3B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rPr>
        <w:t>协作单位：</w:t>
      </w:r>
      <w:r>
        <w:rPr>
          <w:rFonts w:hint="eastAsia" w:ascii="仿宋" w:hAnsi="仿宋" w:eastAsia="仿宋"/>
          <w:sz w:val="28"/>
          <w:szCs w:val="28"/>
          <w:lang w:val="en-US" w:eastAsia="zh-CN"/>
        </w:rPr>
        <w:t>内蒙古自治区农牧业质量安全与检测研究所、通辽市农畜产品质量安全中心。</w:t>
      </w:r>
    </w:p>
    <w:p w14:paraId="514D6921">
      <w:pPr>
        <w:keepNext w:val="0"/>
        <w:keepLines w:val="0"/>
        <w:pageBreakBefore w:val="0"/>
        <w:kinsoku/>
        <w:wordWrap/>
        <w:overflowPunct/>
        <w:topLinePunct w:val="0"/>
        <w:bidi w:val="0"/>
        <w:adjustRightInd/>
        <w:snapToGrid/>
        <w:spacing w:line="560" w:lineRule="exact"/>
        <w:ind w:firstLine="562" w:firstLineChars="200"/>
        <w:textAlignment w:val="auto"/>
        <w:rPr>
          <w:rFonts w:ascii="仿宋" w:hAnsi="仿宋" w:eastAsia="仿宋"/>
          <w:b/>
          <w:sz w:val="28"/>
          <w:szCs w:val="28"/>
        </w:rPr>
      </w:pPr>
      <w:r>
        <w:rPr>
          <w:rFonts w:hint="eastAsia" w:ascii="仿宋" w:hAnsi="仿宋" w:eastAsia="仿宋"/>
          <w:b/>
          <w:sz w:val="28"/>
          <w:szCs w:val="28"/>
        </w:rPr>
        <w:t>3、主要起草人</w:t>
      </w:r>
    </w:p>
    <w:p w14:paraId="14143D61">
      <w:pPr>
        <w:pStyle w:val="13"/>
        <w:keepNext w:val="0"/>
        <w:keepLines w:val="0"/>
        <w:pageBreakBefore w:val="0"/>
        <w:kinsoku/>
        <w:wordWrap/>
        <w:overflowPunct/>
        <w:topLinePunct w:val="0"/>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本标准主要起草人为：</w:t>
      </w:r>
      <w:r>
        <w:rPr>
          <w:rFonts w:hint="eastAsia" w:ascii="仿宋" w:hAnsi="仿宋" w:eastAsia="仿宋"/>
          <w:sz w:val="28"/>
          <w:szCs w:val="28"/>
          <w:lang w:val="en-US" w:eastAsia="zh-CN"/>
        </w:rPr>
        <w:t>刘佳庆、张欣昕、郝智强等。</w:t>
      </w:r>
    </w:p>
    <w:p w14:paraId="40DA5C1C">
      <w:pPr>
        <w:ind w:firstLine="562" w:firstLineChars="200"/>
        <w:jc w:val="cente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表1</w:t>
      </w:r>
      <w:r>
        <w:rPr>
          <w:rFonts w:hint="eastAsia" w:asciiTheme="majorEastAsia" w:hAnsiTheme="majorEastAsia" w:eastAsiaTheme="majorEastAsia" w:cstheme="majorEastAsia"/>
          <w:b/>
          <w:bCs/>
          <w:sz w:val="28"/>
          <w:szCs w:val="28"/>
          <w:lang w:val="en-US" w:eastAsia="zh-CN"/>
        </w:rPr>
        <w:t xml:space="preserve">  </w:t>
      </w:r>
      <w:r>
        <w:rPr>
          <w:rFonts w:hint="eastAsia" w:asciiTheme="majorEastAsia" w:hAnsiTheme="majorEastAsia" w:eastAsiaTheme="majorEastAsia" w:cstheme="majorEastAsia"/>
          <w:b/>
          <w:bCs/>
          <w:sz w:val="28"/>
          <w:szCs w:val="28"/>
        </w:rPr>
        <w:t>标准参与编写人员及其所做的工作</w:t>
      </w:r>
    </w:p>
    <w:tbl>
      <w:tblPr>
        <w:tblStyle w:val="7"/>
        <w:tblW w:w="5396" w:type="pct"/>
        <w:jc w:val="center"/>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8"/>
        <w:gridCol w:w="2355"/>
        <w:gridCol w:w="1323"/>
        <w:gridCol w:w="4081"/>
      </w:tblGrid>
      <w:tr w14:paraId="620584F7">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bottom w:val="single" w:color="000000" w:themeColor="text1" w:sz="6" w:space="0"/>
            </w:tcBorders>
            <w:vAlign w:val="center"/>
          </w:tcPr>
          <w:p w14:paraId="70F72E7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姓名</w:t>
            </w:r>
          </w:p>
        </w:tc>
        <w:tc>
          <w:tcPr>
            <w:tcW w:w="1280" w:type="pct"/>
            <w:tcBorders>
              <w:bottom w:val="single" w:color="000000" w:themeColor="text1" w:sz="6" w:space="0"/>
            </w:tcBorders>
            <w:vAlign w:val="center"/>
          </w:tcPr>
          <w:p w14:paraId="155FD6CF">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工作单位</w:t>
            </w:r>
          </w:p>
        </w:tc>
        <w:tc>
          <w:tcPr>
            <w:tcW w:w="719" w:type="pct"/>
            <w:tcBorders>
              <w:bottom w:val="single" w:color="000000" w:themeColor="text1" w:sz="6" w:space="0"/>
            </w:tcBorders>
            <w:vAlign w:val="center"/>
          </w:tcPr>
          <w:p w14:paraId="2184CC37">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职称</w:t>
            </w:r>
          </w:p>
        </w:tc>
        <w:tc>
          <w:tcPr>
            <w:tcW w:w="2218" w:type="pct"/>
            <w:tcBorders>
              <w:bottom w:val="single" w:color="000000" w:themeColor="text1" w:sz="6" w:space="0"/>
            </w:tcBorders>
            <w:vAlign w:val="center"/>
          </w:tcPr>
          <w:p w14:paraId="44BA130C">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主要工作内容</w:t>
            </w:r>
          </w:p>
        </w:tc>
      </w:tr>
      <w:tr w14:paraId="2CB255FB">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top w:val="single" w:color="000000" w:themeColor="text1" w:sz="6" w:space="0"/>
              <w:tl2br w:val="nil"/>
              <w:tr2bl w:val="nil"/>
            </w:tcBorders>
            <w:vAlign w:val="center"/>
          </w:tcPr>
          <w:p w14:paraId="2E2F16A6">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刘佳庆</w:t>
            </w:r>
          </w:p>
        </w:tc>
        <w:tc>
          <w:tcPr>
            <w:tcW w:w="1280" w:type="pct"/>
            <w:tcBorders>
              <w:top w:val="single" w:color="000000" w:themeColor="text1" w:sz="6" w:space="0"/>
              <w:tl2br w:val="nil"/>
              <w:tr2bl w:val="nil"/>
            </w:tcBorders>
            <w:vAlign w:val="center"/>
          </w:tcPr>
          <w:p w14:paraId="50E6C1E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内蒙古自治区农牧厅</w:t>
            </w:r>
          </w:p>
        </w:tc>
        <w:tc>
          <w:tcPr>
            <w:tcW w:w="719" w:type="pct"/>
            <w:tcBorders>
              <w:top w:val="single" w:color="000000" w:themeColor="text1" w:sz="6" w:space="0"/>
              <w:tl2br w:val="nil"/>
              <w:tr2bl w:val="nil"/>
            </w:tcBorders>
            <w:vAlign w:val="center"/>
          </w:tcPr>
          <w:p w14:paraId="0537AC9E">
            <w:pPr>
              <w:autoSpaceDE w:val="0"/>
              <w:autoSpaceDN w:val="0"/>
              <w:spacing w:after="0"/>
              <w:contextualSpacing/>
              <w:jc w:val="center"/>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副处长</w:t>
            </w:r>
          </w:p>
        </w:tc>
        <w:tc>
          <w:tcPr>
            <w:tcW w:w="2218" w:type="pct"/>
            <w:tcBorders>
              <w:top w:val="single" w:color="000000" w:themeColor="text1" w:sz="6" w:space="0"/>
              <w:tl2br w:val="nil"/>
              <w:tr2bl w:val="nil"/>
            </w:tcBorders>
            <w:vAlign w:val="center"/>
          </w:tcPr>
          <w:p w14:paraId="751F776C">
            <w:pPr>
              <w:autoSpaceDE w:val="0"/>
              <w:autoSpaceDN w:val="0"/>
              <w:spacing w:after="0"/>
              <w:contextualSpacing/>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项目主持人，负责方案设计，标准编写、验证和修订。</w:t>
            </w:r>
          </w:p>
        </w:tc>
      </w:tr>
      <w:tr w14:paraId="7A05FC26">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tl2br w:val="nil"/>
              <w:tr2bl w:val="nil"/>
            </w:tcBorders>
            <w:vAlign w:val="center"/>
          </w:tcPr>
          <w:p w14:paraId="3B771A6E">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张欣昕</w:t>
            </w:r>
          </w:p>
        </w:tc>
        <w:tc>
          <w:tcPr>
            <w:tcW w:w="1280" w:type="pct"/>
            <w:tcBorders>
              <w:tl2br w:val="nil"/>
              <w:tr2bl w:val="nil"/>
            </w:tcBorders>
            <w:vAlign w:val="center"/>
          </w:tcPr>
          <w:p w14:paraId="7749CCE2">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内蒙古自</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治区农畜产品质量安全中心</w:t>
            </w:r>
          </w:p>
        </w:tc>
        <w:tc>
          <w:tcPr>
            <w:tcW w:w="719" w:type="pct"/>
            <w:tcBorders>
              <w:tl2br w:val="nil"/>
              <w:tr2bl w:val="nil"/>
            </w:tcBorders>
            <w:vAlign w:val="center"/>
          </w:tcPr>
          <w:p w14:paraId="1CA3113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副研究员</w:t>
            </w:r>
          </w:p>
        </w:tc>
        <w:tc>
          <w:tcPr>
            <w:tcW w:w="2218" w:type="pct"/>
            <w:tcBorders>
              <w:tl2br w:val="nil"/>
              <w:tr2bl w:val="nil"/>
            </w:tcBorders>
            <w:vAlign w:val="center"/>
          </w:tcPr>
          <w:p w14:paraId="47399E40">
            <w:pPr>
              <w:spacing w:after="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主要参加人，负责标准编写、验证和修订。</w:t>
            </w:r>
          </w:p>
        </w:tc>
      </w:tr>
      <w:tr w14:paraId="31223483">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exact"/>
          <w:jc w:val="center"/>
        </w:trPr>
        <w:tc>
          <w:tcPr>
            <w:tcW w:w="782" w:type="pct"/>
            <w:tcBorders>
              <w:tl2br w:val="nil"/>
              <w:tr2bl w:val="nil"/>
            </w:tcBorders>
            <w:vAlign w:val="center"/>
          </w:tcPr>
          <w:p w14:paraId="4F385B14">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郝智强</w:t>
            </w:r>
          </w:p>
        </w:tc>
        <w:tc>
          <w:tcPr>
            <w:tcW w:w="1280" w:type="pct"/>
            <w:tcBorders>
              <w:tl2br w:val="nil"/>
              <w:tr2bl w:val="nil"/>
            </w:tcBorders>
            <w:vAlign w:val="center"/>
          </w:tcPr>
          <w:p w14:paraId="76CDA109">
            <w:pPr>
              <w:spacing w:after="0"/>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内蒙古自治区农畜产品质量安全中心</w:t>
            </w:r>
          </w:p>
        </w:tc>
        <w:tc>
          <w:tcPr>
            <w:tcW w:w="719" w:type="pct"/>
            <w:tcBorders>
              <w:tl2br w:val="nil"/>
              <w:tr2bl w:val="nil"/>
            </w:tcBorders>
            <w:vAlign w:val="center"/>
          </w:tcPr>
          <w:p w14:paraId="3BD04BB4">
            <w:pPr>
              <w:spacing w:after="0"/>
              <w:jc w:val="center"/>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畜牧师</w:t>
            </w:r>
          </w:p>
        </w:tc>
        <w:tc>
          <w:tcPr>
            <w:tcW w:w="2218" w:type="pct"/>
            <w:tcBorders>
              <w:tl2br w:val="nil"/>
              <w:tr2bl w:val="nil"/>
            </w:tcBorders>
            <w:vAlign w:val="center"/>
          </w:tcPr>
          <w:p w14:paraId="2EB67C87">
            <w:pPr>
              <w:spacing w:after="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主要参加人，参与标准的指标验证。</w:t>
            </w:r>
          </w:p>
        </w:tc>
      </w:tr>
    </w:tbl>
    <w:p w14:paraId="7F556790">
      <w:pPr>
        <w:rPr>
          <w:rFonts w:ascii="仿宋" w:hAnsi="仿宋" w:eastAsia="仿宋"/>
          <w:sz w:val="28"/>
          <w:szCs w:val="28"/>
        </w:rPr>
      </w:pPr>
    </w:p>
    <w:p w14:paraId="1712A4E4">
      <w:pPr>
        <w:keepNext w:val="0"/>
        <w:keepLines w:val="0"/>
        <w:pageBreakBefore w:val="0"/>
        <w:numPr>
          <w:ilvl w:val="0"/>
          <w:numId w:val="3"/>
        </w:numPr>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制定标准的必要性和意义</w:t>
      </w:r>
    </w:p>
    <w:p w14:paraId="36217A42">
      <w:pPr>
        <w:pStyle w:val="15"/>
        <w:keepNext w:val="0"/>
        <w:keepLines w:val="0"/>
        <w:pageBreakBefore w:val="0"/>
        <w:widowControl/>
        <w:numPr>
          <w:ilvl w:val="0"/>
          <w:numId w:val="0"/>
        </w:numPr>
        <w:kinsoku/>
        <w:wordWrap/>
        <w:overflowPunct/>
        <w:topLinePunct w:val="0"/>
        <w:autoSpaceDE/>
        <w:autoSpaceDN/>
        <w:bidi w:val="0"/>
        <w:adjustRightInd/>
        <w:snapToGrid w:val="0"/>
        <w:spacing w:before="0" w:beforeLines="0" w:after="0" w:afterLines="0" w:line="560" w:lineRule="exact"/>
        <w:ind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小米俗称谷子，是一种药食同源的优质杂粮，富含丰富的蛋白质、膳食纤维、糖类、脂肪、矿物质、多种维生素以及人体必备氨基酸等营养物质， 营养素配比合理，人体吸收消化率高，具有健脾养胃、调节睡眠的功效。小米在我国广泛种植，且单产和总产量居世界第一位，占世界总产量的80%。内蒙古是我国小米的优势产区之一，素有“中国杂粮在内蒙，内蒙杂粮在赤峰”的说法。内蒙古小米产品以敖汉旗小米、清水河小米被消费者广泛认可。近年来，在内蒙古政府的大力扶持与支持下，内蒙古小米产业不断探索绿色高质量、生态可持续发展之路，进行产业提档升级，在种植、加工、销售、品牌建设等各方面均取得了显著成绩。2020年至2023年，在内蒙古农牧厅连续多年开展了内蒙古小米品质鉴评研究项目，总结多年的评价经验，我们已经基本形成了内蒙古小米在品质评价工作中的标准化模式，即固定了评价指标、采样方法、检测方法和数据分析方法。因此，为了进一步规范品质评价过程的采样代表性、指标有效性和结果可靠性，保障评价结果的关联性和可类比性，提出了建立内蒙古优势特色小米的品质评价管理技术规范。拟通过品质评价管理技术规范的建立，以保障品质评价项目在挖掘我区产品品质优势指标、提高产品市场竞争力、推动</w:t>
      </w:r>
      <w:r>
        <w:rPr>
          <w:rFonts w:hint="default" w:ascii="仿宋" w:hAnsi="仿宋" w:eastAsia="仿宋" w:cs="Times New Roman"/>
          <w:kern w:val="0"/>
          <w:sz w:val="28"/>
          <w:szCs w:val="28"/>
          <w:lang w:val="en-US" w:eastAsia="zh-CN" w:bidi="ar-SA"/>
        </w:rPr>
        <w:t>产业增收</w:t>
      </w:r>
      <w:r>
        <w:rPr>
          <w:rFonts w:hint="eastAsia" w:ascii="仿宋" w:hAnsi="仿宋" w:eastAsia="仿宋" w:cs="Times New Roman"/>
          <w:kern w:val="0"/>
          <w:sz w:val="28"/>
          <w:szCs w:val="28"/>
          <w:lang w:val="en-US" w:eastAsia="zh-CN" w:bidi="ar-SA"/>
        </w:rPr>
        <w:t>、服务小米产业高质量发展中，发挥更大的作用。进一步</w:t>
      </w:r>
      <w:r>
        <w:rPr>
          <w:rFonts w:hint="default" w:ascii="仿宋" w:hAnsi="仿宋" w:eastAsia="仿宋" w:cs="Times New Roman"/>
          <w:kern w:val="0"/>
          <w:sz w:val="28"/>
          <w:szCs w:val="28"/>
          <w:lang w:val="en-US" w:eastAsia="zh-CN" w:bidi="ar-SA"/>
        </w:rPr>
        <w:t>为</w:t>
      </w:r>
      <w:r>
        <w:rPr>
          <w:rFonts w:hint="eastAsia" w:ascii="仿宋" w:hAnsi="仿宋" w:eastAsia="仿宋" w:cs="Times New Roman"/>
          <w:kern w:val="0"/>
          <w:sz w:val="28"/>
          <w:szCs w:val="28"/>
          <w:lang w:val="en-US" w:eastAsia="zh-CN" w:bidi="ar-SA"/>
        </w:rPr>
        <w:t>内蒙古小米</w:t>
      </w:r>
      <w:r>
        <w:rPr>
          <w:rFonts w:hint="default" w:ascii="仿宋" w:hAnsi="仿宋" w:eastAsia="仿宋" w:cs="Times New Roman"/>
          <w:kern w:val="0"/>
          <w:sz w:val="28"/>
          <w:szCs w:val="28"/>
          <w:lang w:val="en-US" w:eastAsia="zh-CN" w:bidi="ar-SA"/>
        </w:rPr>
        <w:t>“提升品质”、“优质优价”提供理论基础，为自治区培育 “独一份”、“特别特”、“好中优”的“土字号”、“乡字号”</w:t>
      </w:r>
      <w:r>
        <w:rPr>
          <w:rFonts w:hint="eastAsia" w:ascii="仿宋" w:hAnsi="仿宋" w:eastAsia="仿宋" w:cs="Times New Roman"/>
          <w:kern w:val="0"/>
          <w:sz w:val="28"/>
          <w:szCs w:val="28"/>
          <w:lang w:val="en-US" w:eastAsia="zh-CN" w:bidi="ar-SA"/>
        </w:rPr>
        <w:t>小米</w:t>
      </w:r>
      <w:r>
        <w:rPr>
          <w:rFonts w:hint="default" w:ascii="仿宋" w:hAnsi="仿宋" w:eastAsia="仿宋" w:cs="Times New Roman"/>
          <w:kern w:val="0"/>
          <w:sz w:val="28"/>
          <w:szCs w:val="28"/>
          <w:lang w:val="en-US" w:eastAsia="zh-CN" w:bidi="ar-SA"/>
        </w:rPr>
        <w:t>品牌</w:t>
      </w:r>
      <w:r>
        <w:rPr>
          <w:rFonts w:hint="eastAsia" w:ascii="仿宋" w:hAnsi="仿宋" w:eastAsia="仿宋" w:cs="Times New Roman"/>
          <w:kern w:val="0"/>
          <w:sz w:val="28"/>
          <w:szCs w:val="28"/>
          <w:lang w:val="en-US" w:eastAsia="zh-CN" w:bidi="ar-SA"/>
        </w:rPr>
        <w:t>，</w:t>
      </w:r>
      <w:r>
        <w:rPr>
          <w:rFonts w:hint="default" w:ascii="仿宋" w:hAnsi="仿宋" w:eastAsia="仿宋" w:cs="Times New Roman"/>
          <w:kern w:val="0"/>
          <w:sz w:val="28"/>
          <w:szCs w:val="28"/>
          <w:lang w:val="en-US" w:eastAsia="zh-CN" w:bidi="ar-SA"/>
        </w:rPr>
        <w:t>讲好特色品牌故事提供数据支撑</w:t>
      </w:r>
      <w:r>
        <w:rPr>
          <w:rFonts w:hint="eastAsia" w:ascii="仿宋" w:hAnsi="仿宋" w:eastAsia="仿宋" w:cs="Times New Roman"/>
          <w:kern w:val="0"/>
          <w:sz w:val="28"/>
          <w:szCs w:val="28"/>
          <w:lang w:val="en-US" w:eastAsia="zh-CN" w:bidi="ar-SA"/>
        </w:rPr>
        <w:t>，促进内蒙古小米产业高质量发展。</w:t>
      </w:r>
    </w:p>
    <w:p w14:paraId="4B4BCEF7">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三、主要起草过程</w:t>
      </w:r>
    </w:p>
    <w:p w14:paraId="159DC8C4">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1、前期准备</w:t>
      </w:r>
    </w:p>
    <w:p w14:paraId="0B00BEF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2020年至2023年，内蒙古农牧厅连续多年开展了内蒙古小米品质鉴评研究项目。通过项目发现：内蒙古小米在蛋白质、脂肪酸、和中微量矿物质元素营养优势明显，甜味氨基酸、鲜味氨基酸含量和组成优势显著。特别是赤峰小米的风味氨基酸、镁、 钾、铜、锰、硒元素及维生素D</w:t>
      </w:r>
      <w:r>
        <w:rPr>
          <w:rFonts w:hint="eastAsia" w:ascii="仿宋" w:hAnsi="仿宋" w:eastAsia="仿宋" w:cs="Times New Roman"/>
          <w:kern w:val="0"/>
          <w:sz w:val="28"/>
          <w:szCs w:val="28"/>
          <w:vertAlign w:val="subscript"/>
          <w:lang w:val="en-US" w:eastAsia="zh-CN" w:bidi="ar-SA"/>
        </w:rPr>
        <w:t>2</w:t>
      </w:r>
      <w:r>
        <w:rPr>
          <w:rFonts w:hint="eastAsia" w:ascii="仿宋" w:hAnsi="仿宋" w:eastAsia="仿宋" w:cs="Times New Roman"/>
          <w:kern w:val="0"/>
          <w:sz w:val="28"/>
          <w:szCs w:val="28"/>
          <w:lang w:val="en-US" w:eastAsia="zh-CN" w:bidi="ar-SA"/>
        </w:rPr>
        <w:t>含量明显居优，在挥发性风味物质的含量和组成上也具有产品优势。赤峰小米的多酚、黄酮、多糖含量等功能性成分上含量较高；在色泽、适口性、均匀性、滋味也表现最优。因此，我们已经基本形成了内蒙古小米在品质评价工作中的标准化模式，即固定了评价指标、采样方法、检测方法和数据分析方法。</w:t>
      </w:r>
    </w:p>
    <w:p w14:paraId="12DC1AE1">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2、组成标准起草组，制定工作方案</w:t>
      </w:r>
    </w:p>
    <w:p w14:paraId="68DD548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b/>
          <w:sz w:val="28"/>
          <w:szCs w:val="28"/>
        </w:rPr>
      </w:pPr>
      <w:r>
        <w:rPr>
          <w:rFonts w:hint="eastAsia" w:ascii="仿宋" w:hAnsi="仿宋" w:eastAsia="仿宋" w:cs="Times New Roman"/>
          <w:kern w:val="0"/>
          <w:sz w:val="28"/>
          <w:szCs w:val="28"/>
          <w:lang w:val="en-US" w:eastAsia="zh-CN" w:bidi="ar-SA"/>
        </w:rPr>
        <w:t>2024年3月，由内蒙古农牧厅和内蒙古自治区农畜产品质量安全中心牵头成立标准起草小组，开展国内外相关资料的收集和整理，实施方案的确定工作，并向</w:t>
      </w:r>
      <w:r>
        <w:rPr>
          <w:rFonts w:hint="eastAsia" w:ascii="仿宋" w:hAnsi="仿宋" w:eastAsia="仿宋"/>
          <w:sz w:val="28"/>
          <w:szCs w:val="28"/>
          <w:lang w:val="en-US" w:eastAsia="zh-CN"/>
        </w:rPr>
        <w:t>内蒙古标准化协会提出立项申请。2024年8月5日，内蒙古标准化协会下达团体标准制修订项目的通知（内标协〔2024〕017号）。</w:t>
      </w:r>
    </w:p>
    <w:p w14:paraId="755E9431">
      <w:pPr>
        <w:keepNext w:val="0"/>
        <w:keepLines w:val="0"/>
        <w:pageBreakBefore w:val="0"/>
        <w:numPr>
          <w:ilvl w:val="0"/>
          <w:numId w:val="4"/>
        </w:numPr>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完善标准内容，形成标准征求意见稿</w:t>
      </w:r>
    </w:p>
    <w:p w14:paraId="761D83B2">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该项目立项后，在现有的实验基础上，又进行了大量文献查询、实地调研和样品验证工作，具体进度如下：</w:t>
      </w:r>
    </w:p>
    <w:p w14:paraId="7F9838E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2024年9月至10月：文献查询；</w:t>
      </w:r>
    </w:p>
    <w:p w14:paraId="3FB2D9D6">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2024年11月：实地调研和样品验证；</w:t>
      </w:r>
    </w:p>
    <w:p w14:paraId="4AF1B519">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2024年12月：起草标准及编制说明，提交内蒙古标准化协会进行初审，并按照专家意见进行修改；</w:t>
      </w:r>
    </w:p>
    <w:p w14:paraId="1E0B439E">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b/>
          <w:sz w:val="28"/>
          <w:szCs w:val="28"/>
          <w:lang w:val="en-US" w:eastAsia="zh-CN"/>
        </w:rPr>
      </w:pPr>
      <w:r>
        <w:rPr>
          <w:rFonts w:hint="eastAsia" w:ascii="仿宋" w:hAnsi="仿宋" w:eastAsia="仿宋"/>
          <w:sz w:val="28"/>
          <w:szCs w:val="28"/>
          <w:lang w:val="en-US" w:eastAsia="zh-CN"/>
        </w:rPr>
        <w:t>2025年1月：经内蒙古标准化协会审核并公示。</w:t>
      </w:r>
    </w:p>
    <w:p w14:paraId="1BDE6358">
      <w:pPr>
        <w:keepNext w:val="0"/>
        <w:keepLines w:val="0"/>
        <w:pageBreakBefore w:val="0"/>
        <w:widowControl w:val="0"/>
        <w:numPr>
          <w:ilvl w:val="0"/>
          <w:numId w:val="4"/>
        </w:numPr>
        <w:kinsoku/>
        <w:wordWrap/>
        <w:overflowPunct/>
        <w:topLinePunct w:val="0"/>
        <w:bidi w:val="0"/>
        <w:adjustRightInd/>
        <w:snapToGrid/>
        <w:spacing w:beforeAutospacing="0" w:afterAutospacing="0"/>
        <w:ind w:left="0" w:leftChars="0" w:firstLine="562" w:firstLineChars="200"/>
        <w:jc w:val="both"/>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形成送审稿</w:t>
      </w:r>
    </w:p>
    <w:p w14:paraId="744E4ED3">
      <w:pPr>
        <w:keepNext w:val="0"/>
        <w:keepLines w:val="0"/>
        <w:pageBreakBefore w:val="0"/>
        <w:kinsoku/>
        <w:wordWrap/>
        <w:overflowPunct/>
        <w:topLinePunct w:val="0"/>
        <w:bidi w:val="0"/>
        <w:adjustRightInd/>
        <w:snapToGrid/>
        <w:spacing w:beforeAutospacing="0" w:afterAutospacing="0"/>
        <w:ind w:firstLine="560" w:firstLineChars="200"/>
        <w:textAlignment w:val="auto"/>
        <w:rPr>
          <w:rFonts w:hint="default" w:ascii="仿宋" w:hAnsi="仿宋" w:eastAsia="仿宋"/>
          <w:b/>
          <w:sz w:val="28"/>
          <w:szCs w:val="28"/>
          <w:lang w:val="en-US" w:eastAsia="zh-CN"/>
        </w:rPr>
      </w:pPr>
      <w:r>
        <w:rPr>
          <w:rFonts w:hint="eastAsia" w:ascii="仿宋" w:hAnsi="仿宋" w:eastAsia="仿宋"/>
          <w:sz w:val="28"/>
          <w:szCs w:val="28"/>
          <w:lang w:val="en-US" w:eastAsia="zh-CN"/>
        </w:rPr>
        <w:t>公示期无异议，形成送审稿，报内蒙古标准化协会准备会议审定。</w:t>
      </w:r>
    </w:p>
    <w:p w14:paraId="096BFCB7">
      <w:pPr>
        <w:keepNext w:val="0"/>
        <w:keepLines w:val="0"/>
        <w:pageBreakBefore w:val="0"/>
        <w:widowControl w:val="0"/>
        <w:numPr>
          <w:ilvl w:val="0"/>
          <w:numId w:val="0"/>
        </w:numPr>
        <w:kinsoku/>
        <w:wordWrap/>
        <w:overflowPunct/>
        <w:topLinePunct w:val="0"/>
        <w:bidi w:val="0"/>
        <w:adjustRightInd/>
        <w:snapToGrid/>
        <w:spacing w:beforeAutospacing="0" w:afterAutospacing="0"/>
        <w:ind w:firstLine="562" w:firstLineChars="200"/>
        <w:jc w:val="both"/>
        <w:textAlignment w:val="auto"/>
        <w:rPr>
          <w:rFonts w:hint="default" w:ascii="仿宋" w:hAnsi="仿宋" w:eastAsia="仿宋"/>
          <w:b/>
          <w:sz w:val="28"/>
          <w:szCs w:val="28"/>
          <w:lang w:val="en-US" w:eastAsia="zh-CN"/>
        </w:rPr>
      </w:pPr>
      <w:r>
        <w:rPr>
          <w:rFonts w:hint="eastAsia" w:ascii="仿宋" w:hAnsi="仿宋" w:eastAsia="仿宋"/>
          <w:b/>
          <w:sz w:val="28"/>
          <w:szCs w:val="28"/>
          <w:lang w:val="en-US" w:eastAsia="zh-CN"/>
        </w:rPr>
        <w:t>5、形成报批稿</w:t>
      </w:r>
    </w:p>
    <w:p w14:paraId="54E09913">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b/>
          <w:sz w:val="28"/>
          <w:szCs w:val="28"/>
          <w:lang w:val="en-US"/>
        </w:rPr>
      </w:pPr>
      <w:bookmarkStart w:id="0" w:name="_GoBack"/>
      <w:bookmarkEnd w:id="0"/>
      <w:r>
        <w:rPr>
          <w:rFonts w:hint="eastAsia" w:ascii="仿宋" w:hAnsi="仿宋" w:eastAsia="仿宋"/>
          <w:sz w:val="28"/>
          <w:szCs w:val="28"/>
          <w:lang w:val="en-US" w:eastAsia="zh-CN"/>
        </w:rPr>
        <w:t>内蒙古标准化协会组织标准审定，</w:t>
      </w:r>
      <w:r>
        <w:rPr>
          <w:rFonts w:hint="eastAsia" w:ascii="仿宋" w:hAnsi="仿宋" w:eastAsia="仿宋" w:cs="Times New Roman"/>
          <w:kern w:val="0"/>
          <w:sz w:val="28"/>
          <w:szCs w:val="28"/>
          <w:lang w:val="en-US" w:eastAsia="zh-CN" w:bidi="ar-SA"/>
        </w:rPr>
        <w:t>标准起草小组</w:t>
      </w:r>
      <w:r>
        <w:rPr>
          <w:rFonts w:hint="eastAsia" w:ascii="仿宋" w:hAnsi="仿宋" w:eastAsia="仿宋"/>
          <w:sz w:val="28"/>
          <w:szCs w:val="28"/>
          <w:lang w:val="en-US" w:eastAsia="zh-CN"/>
        </w:rPr>
        <w:t>按照专家意见修改标准后，报内蒙古标准化协会，形成报批稿。</w:t>
      </w:r>
    </w:p>
    <w:p w14:paraId="3E2FA9FD">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四、制定标准的原则和依据，与现行法律、法规、标准的关系</w:t>
      </w:r>
    </w:p>
    <w:p w14:paraId="29DDFFC4">
      <w:pPr>
        <w:keepNext w:val="0"/>
        <w:keepLines w:val="0"/>
        <w:pageBreakBefore w:val="0"/>
        <w:kinsoku/>
        <w:wordWrap/>
        <w:overflowPunct/>
        <w:topLinePunct w:val="0"/>
        <w:bidi w:val="0"/>
        <w:adjustRightInd/>
        <w:snapToGrid/>
        <w:spacing w:beforeAutospacing="0" w:afterAutospacing="0" w:line="360" w:lineRule="auto"/>
        <w:ind w:firstLine="562" w:firstLineChars="200"/>
        <w:jc w:val="left"/>
        <w:textAlignment w:val="auto"/>
        <w:rPr>
          <w:rFonts w:hint="eastAsia" w:ascii="仿宋" w:hAnsi="仿宋" w:eastAsia="仿宋"/>
          <w:color w:val="FF0000"/>
          <w:sz w:val="28"/>
          <w:szCs w:val="28"/>
        </w:rPr>
      </w:pPr>
      <w:r>
        <w:rPr>
          <w:rFonts w:hint="eastAsia" w:ascii="仿宋" w:hAnsi="仿宋" w:eastAsia="仿宋" w:cs="仿宋"/>
          <w:b/>
          <w:color w:val="000000"/>
          <w:sz w:val="28"/>
          <w:szCs w:val="24"/>
        </w:rPr>
        <w:t>1、编制</w:t>
      </w:r>
      <w:r>
        <w:rPr>
          <w:rFonts w:hint="eastAsia" w:ascii="仿宋" w:hAnsi="仿宋" w:eastAsia="仿宋" w:cs="仿宋"/>
          <w:b/>
          <w:sz w:val="28"/>
          <w:szCs w:val="24"/>
        </w:rPr>
        <w:t>原则</w:t>
      </w:r>
    </w:p>
    <w:p w14:paraId="4486B25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本标准以《内蒙古小米品质评鉴总结报告》（2020年至2023年）研究结论为基础，以相关品质评价标准为科学性指导，明确提出了小米品质评价管理技术规范的</w:t>
      </w:r>
      <w:r>
        <w:rPr>
          <w:rFonts w:hint="eastAsia" w:ascii="仿宋" w:hAnsi="仿宋" w:eastAsia="仿宋" w:cstheme="minorBidi"/>
          <w:kern w:val="2"/>
          <w:sz w:val="28"/>
          <w:szCs w:val="28"/>
          <w:lang w:val="en-US" w:eastAsia="zh-CN" w:bidi="ar-SA"/>
        </w:rPr>
        <w:t>样品准备、评价指标、检测方法、评价方法和结果质量控制要求，其指标具体、方法明确，实用性和可操作性强。在指标筛选时，主要侧重内蒙古小米优势指标，指标针对性强，重点突出，经济适用。</w:t>
      </w:r>
    </w:p>
    <w:p w14:paraId="7C836154">
      <w:pPr>
        <w:keepNext w:val="0"/>
        <w:keepLines w:val="0"/>
        <w:pageBreakBefore w:val="0"/>
        <w:kinsoku/>
        <w:wordWrap/>
        <w:overflowPunct/>
        <w:topLinePunct w:val="0"/>
        <w:bidi w:val="0"/>
        <w:adjustRightInd/>
        <w:snapToGrid/>
        <w:spacing w:beforeAutospacing="0" w:afterAutospacing="0" w:line="360" w:lineRule="auto"/>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2、编制依据</w:t>
      </w:r>
    </w:p>
    <w:p w14:paraId="46261D0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本标准的编制依据按照《标准化工作导则 第1部分：标准化文件的结构和起草规则》（GB/T 1.1－2020）给出的规则起草。</w:t>
      </w:r>
    </w:p>
    <w:p w14:paraId="7209B2AE">
      <w:pPr>
        <w:pStyle w:val="11"/>
        <w:keepNext w:val="0"/>
        <w:keepLines w:val="0"/>
        <w:pageBreakBefore w:val="0"/>
        <w:kinsoku/>
        <w:wordWrap/>
        <w:overflowPunct/>
        <w:topLinePunct w:val="0"/>
        <w:bidi w:val="0"/>
        <w:adjustRightInd/>
        <w:spacing w:line="56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本标准的技术依据主要有</w:t>
      </w:r>
      <w:r>
        <w:rPr>
          <w:rFonts w:hint="eastAsia" w:ascii="仿宋" w:hAnsi="仿宋" w:eastAsia="仿宋" w:cstheme="minorBidi"/>
          <w:kern w:val="2"/>
          <w:sz w:val="28"/>
          <w:szCs w:val="28"/>
          <w:lang w:val="en-US" w:eastAsia="zh-CN" w:bidi="ar-SA"/>
        </w:rPr>
        <w:t>《地理标志农产品品质鉴定与质量控制技术规范 谷物类》、《地理标志产品 蔚州贡米（蔚州小米）》、《赤峰小米》、</w:t>
      </w:r>
      <w:r>
        <w:rPr>
          <w:rFonts w:hint="eastAsia" w:ascii="仿宋" w:hAnsi="仿宋" w:eastAsia="仿宋"/>
          <w:sz w:val="28"/>
          <w:szCs w:val="28"/>
          <w:lang w:val="en-US" w:eastAsia="zh-CN"/>
        </w:rPr>
        <w:t>《内蒙古小米品质评鉴总结报告》（2020年至2023年）。这些内容为本标准的制订提供相关理论支持，使本标准具有较强的科学性、先进性、可靠性和可操作性。基于上述标准和参考文献确定本标准具体技术内容。根据这些相关标准评价指标和指标值，结合品质评鉴工作中的数据结果明确本标准的指标类型、范围和要求。</w:t>
      </w:r>
    </w:p>
    <w:p w14:paraId="6EBC992B">
      <w:pPr>
        <w:keepNext w:val="0"/>
        <w:keepLines w:val="0"/>
        <w:pageBreakBefore w:val="0"/>
        <w:kinsoku/>
        <w:wordWrap/>
        <w:overflowPunct/>
        <w:topLinePunct w:val="0"/>
        <w:bidi w:val="0"/>
        <w:adjustRightInd/>
        <w:snapToGrid/>
        <w:spacing w:beforeAutospacing="0" w:afterAutospacing="0" w:line="440" w:lineRule="exact"/>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3、与现行法律、法规、标准的关系</w:t>
      </w:r>
    </w:p>
    <w:p w14:paraId="71577236">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本标准在编制过程中，没有出现与现行有关法律、法规和国家、行业、地方标准相违背的情况。</w:t>
      </w:r>
    </w:p>
    <w:p w14:paraId="3887ADD8">
      <w:pPr>
        <w:keepNext w:val="0"/>
        <w:keepLines w:val="0"/>
        <w:pageBreakBefore w:val="0"/>
        <w:kinsoku/>
        <w:wordWrap/>
        <w:overflowPunct/>
        <w:topLinePunct w:val="0"/>
        <w:bidi w:val="0"/>
        <w:adjustRightInd/>
        <w:snapToGrid/>
        <w:spacing w:beforeAutospacing="0" w:afterAutospacing="0" w:line="440" w:lineRule="exact"/>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4、与现行相关标准的联系</w:t>
      </w:r>
    </w:p>
    <w:p w14:paraId="67C33FC1">
      <w:pPr>
        <w:pStyle w:val="11"/>
        <w:keepNext w:val="0"/>
        <w:keepLines w:val="0"/>
        <w:pageBreakBefore w:val="0"/>
        <w:kinsoku/>
        <w:wordWrap/>
        <w:overflowPunct/>
        <w:topLinePunct w:val="0"/>
        <w:bidi w:val="0"/>
        <w:adjustRightInd/>
        <w:snapToGrid w:val="0"/>
        <w:spacing w:line="560" w:lineRule="exact"/>
        <w:textAlignment w:val="auto"/>
        <w:rPr>
          <w:rFonts w:hint="eastAsia" w:ascii="仿宋" w:hAnsi="仿宋" w:eastAsia="仿宋" w:cstheme="minorBidi"/>
          <w:kern w:val="2"/>
          <w:sz w:val="28"/>
          <w:szCs w:val="28"/>
          <w:lang w:val="en-US" w:eastAsia="zh-CN" w:bidi="ar-SA"/>
        </w:rPr>
      </w:pPr>
      <w:r>
        <w:rPr>
          <w:rFonts w:hint="eastAsia" w:ascii="仿宋" w:hAnsi="仿宋" w:eastAsia="仿宋"/>
          <w:sz w:val="28"/>
          <w:szCs w:val="28"/>
          <w:lang w:val="en-US" w:eastAsia="zh-CN"/>
        </w:rPr>
        <w:t>与该标准相关的标准主要有</w:t>
      </w:r>
      <w:r>
        <w:rPr>
          <w:rFonts w:hint="eastAsia" w:ascii="仿宋" w:hAnsi="仿宋" w:eastAsia="仿宋" w:cstheme="minorBidi"/>
          <w:kern w:val="2"/>
          <w:sz w:val="28"/>
          <w:szCs w:val="28"/>
          <w:lang w:val="en-US" w:eastAsia="zh-CN" w:bidi="ar-SA"/>
        </w:rPr>
        <w:t>《地理标志农产品品质鉴定与质量控制技术规范 谷物类》、《地理标志产品 蔚州贡米（蔚州小米）》、</w:t>
      </w:r>
    </w:p>
    <w:p w14:paraId="09746621">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textAlignment w:val="auto"/>
        <w:rPr>
          <w:rFonts w:hint="eastAsia" w:ascii="仿宋" w:hAnsi="仿宋" w:eastAsia="仿宋"/>
          <w:sz w:val="28"/>
          <w:szCs w:val="28"/>
          <w:lang w:val="en-US" w:eastAsia="zh-CN"/>
        </w:rPr>
      </w:pPr>
      <w:r>
        <w:rPr>
          <w:rFonts w:hint="eastAsia" w:ascii="仿宋" w:hAnsi="仿宋" w:eastAsia="仿宋" w:cstheme="minorBidi"/>
          <w:kern w:val="2"/>
          <w:sz w:val="28"/>
          <w:szCs w:val="28"/>
          <w:lang w:val="en-US" w:eastAsia="zh-CN" w:bidi="ar-SA"/>
        </w:rPr>
        <w:t>《赤峰小米》</w:t>
      </w:r>
      <w:r>
        <w:rPr>
          <w:rFonts w:hint="eastAsia" w:ascii="仿宋" w:hAnsi="仿宋" w:eastAsia="仿宋"/>
          <w:sz w:val="28"/>
          <w:szCs w:val="28"/>
          <w:lang w:val="en-US" w:eastAsia="zh-CN"/>
        </w:rPr>
        <w:t>，本标准主要参考了其评价指标和分级指标值。</w:t>
      </w:r>
    </w:p>
    <w:p w14:paraId="2986F6A7">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五、主要条款的说明，主要技术指标、参数、试验验证的论述</w:t>
      </w:r>
    </w:p>
    <w:p w14:paraId="79188F26">
      <w:pPr>
        <w:keepNext w:val="0"/>
        <w:keepLines w:val="0"/>
        <w:pageBreakBefore w:val="0"/>
        <w:kinsoku/>
        <w:wordWrap/>
        <w:overflowPunct/>
        <w:topLinePunct w:val="0"/>
        <w:bidi w:val="0"/>
        <w:adjustRightInd/>
        <w:snapToGrid w:val="0"/>
        <w:spacing w:beforeAutospacing="0" w:afterAutospacing="0" w:line="560" w:lineRule="exact"/>
        <w:ind w:firstLine="562" w:firstLineChars="200"/>
        <w:textAlignment w:val="auto"/>
        <w:rPr>
          <w:rFonts w:hint="eastAsia" w:ascii="仿宋" w:hAnsi="仿宋" w:eastAsia="仿宋"/>
          <w:b/>
          <w:sz w:val="28"/>
          <w:szCs w:val="28"/>
        </w:rPr>
      </w:pPr>
      <w:r>
        <w:rPr>
          <w:rFonts w:hint="eastAsia" w:ascii="仿宋" w:hAnsi="仿宋" w:eastAsia="仿宋"/>
          <w:b/>
          <w:sz w:val="28"/>
          <w:szCs w:val="28"/>
        </w:rPr>
        <w:t>1、主要条款说明</w:t>
      </w:r>
    </w:p>
    <w:p w14:paraId="110DC150">
      <w:pPr>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本标准主要包含的章节条款有范围、规范性引用文件、术语和定义、样品准备、评价指标、检测方法、评价方法、评价报告要求、质量控制和附录。</w:t>
      </w:r>
    </w:p>
    <w:p w14:paraId="47164288">
      <w:pPr>
        <w:keepNext w:val="0"/>
        <w:keepLines w:val="0"/>
        <w:pageBreakBefore w:val="0"/>
        <w:kinsoku/>
        <w:wordWrap/>
        <w:overflowPunct/>
        <w:topLinePunct w:val="0"/>
        <w:bidi w:val="0"/>
        <w:adjustRightInd/>
        <w:snapToGrid w:val="0"/>
        <w:spacing w:beforeAutospacing="0" w:afterAutospacing="0" w:line="560" w:lineRule="exact"/>
        <w:ind w:firstLine="562" w:firstLineChars="200"/>
        <w:textAlignment w:val="auto"/>
        <w:rPr>
          <w:rFonts w:hint="eastAsia" w:ascii="仿宋" w:hAnsi="仿宋" w:eastAsia="仿宋"/>
          <w:b/>
          <w:sz w:val="28"/>
          <w:szCs w:val="28"/>
        </w:rPr>
      </w:pPr>
      <w:r>
        <w:rPr>
          <w:rFonts w:hint="eastAsia" w:ascii="仿宋" w:hAnsi="仿宋" w:eastAsia="仿宋"/>
          <w:b/>
          <w:sz w:val="28"/>
          <w:szCs w:val="28"/>
        </w:rPr>
        <w:t>2、主要技术指标、参数、试验论证的论述</w:t>
      </w:r>
    </w:p>
    <w:p w14:paraId="4ECA47D5">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b/>
          <w:bCs/>
          <w:color w:val="FF0000"/>
          <w:sz w:val="28"/>
          <w:szCs w:val="28"/>
        </w:rPr>
      </w:pPr>
      <w:r>
        <w:rPr>
          <w:rFonts w:hint="eastAsia" w:ascii="仿宋" w:hAnsi="仿宋" w:eastAsia="仿宋" w:cs="Times New Roman"/>
          <w:b/>
          <w:bCs/>
          <w:kern w:val="0"/>
          <w:sz w:val="28"/>
          <w:szCs w:val="28"/>
          <w:lang w:val="en-US" w:eastAsia="zh-CN" w:bidi="ar-SA"/>
        </w:rPr>
        <w:t>2.1范围的确定</w:t>
      </w:r>
    </w:p>
    <w:p w14:paraId="48D95796">
      <w:pPr>
        <w:pStyle w:val="11"/>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本文件规定了内蒙古优势特色的小米产品品质评价的样品准备、评价指标、检测方法、评价方法和质量控制要求。</w:t>
      </w:r>
    </w:p>
    <w:p w14:paraId="6943C9A4">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2.2规范性引用文件的确定</w:t>
      </w:r>
    </w:p>
    <w:p w14:paraId="1DFEE300">
      <w:pPr>
        <w:pStyle w:val="11"/>
        <w:rPr>
          <w:rFonts w:hint="eastAsia" w:ascii="仿宋" w:hAnsi="仿宋" w:eastAsia="仿宋" w:cstheme="minorBidi"/>
          <w:kern w:val="2"/>
          <w:sz w:val="28"/>
          <w:szCs w:val="28"/>
          <w:lang w:val="en-US" w:eastAsia="zh-CN" w:bidi="ar-SA"/>
        </w:rPr>
      </w:pPr>
      <w:r>
        <w:rPr>
          <w:rFonts w:hint="eastAsia" w:ascii="仿宋" w:hAnsi="仿宋" w:eastAsia="仿宋" w:cs="Times New Roman"/>
          <w:kern w:val="0"/>
          <w:sz w:val="28"/>
          <w:szCs w:val="28"/>
          <w:lang w:val="en-US" w:eastAsia="zh-CN" w:bidi="ar-SA"/>
        </w:rPr>
        <w:t>规范性引用文件按照用途主要分为指标检测标准、数据统计和指标评价标准。检测标准主要用于评价指标的检测，包括 《食品安全国家标准 食品中蛋白质的测定》、《食品安全国家标准 食品中淀粉的测定》、《食品安全国家标准 食品中氨基酸的测定》、《食品安全国家标准 食品中脂肪的测定》、</w:t>
      </w:r>
      <w:r>
        <w:rPr>
          <w:rFonts w:hint="eastAsia"/>
          <w:szCs w:val="20"/>
          <w:lang w:eastAsia="zh-CN"/>
        </w:rPr>
        <w:t>《</w:t>
      </w:r>
      <w:r>
        <w:rPr>
          <w:rFonts w:hint="eastAsia" w:ascii="仿宋" w:hAnsi="仿宋" w:eastAsia="仿宋" w:cs="Times New Roman"/>
          <w:kern w:val="0"/>
          <w:sz w:val="28"/>
          <w:szCs w:val="28"/>
          <w:lang w:val="en-US" w:eastAsia="zh-CN" w:bidi="ar-SA"/>
        </w:rPr>
        <w:t>食品安全国家标准 食品中脂肪酸的测定</w:t>
      </w:r>
      <w:r>
        <w:rPr>
          <w:rFonts w:hint="eastAsia"/>
          <w:szCs w:val="20"/>
          <w:lang w:eastAsia="zh-CN"/>
        </w:rPr>
        <w:t>》、</w:t>
      </w:r>
      <w:r>
        <w:rPr>
          <w:rFonts w:hint="eastAsia" w:ascii="仿宋" w:hAnsi="仿宋" w:eastAsia="仿宋" w:cs="Times New Roman"/>
          <w:kern w:val="0"/>
          <w:sz w:val="28"/>
          <w:szCs w:val="28"/>
          <w:lang w:val="en-US" w:eastAsia="zh-CN" w:bidi="ar-SA"/>
        </w:rPr>
        <w:t>《食品安全国家标准 食品中多元素的测定》、《食品安全国家标准 食品中维生素A、D、E的测定》、 《食品安全国家标准 食品中维生素B</w:t>
      </w:r>
      <w:r>
        <w:rPr>
          <w:rFonts w:hint="eastAsia" w:ascii="仿宋" w:hAnsi="仿宋" w:eastAsia="仿宋" w:cs="Times New Roman"/>
          <w:kern w:val="0"/>
          <w:sz w:val="28"/>
          <w:szCs w:val="28"/>
          <w:vertAlign w:val="subscript"/>
          <w:lang w:val="en-US" w:eastAsia="zh-CN" w:bidi="ar-SA"/>
        </w:rPr>
        <w:t>1</w:t>
      </w:r>
      <w:r>
        <w:rPr>
          <w:rFonts w:hint="eastAsia" w:ascii="仿宋" w:hAnsi="仿宋" w:eastAsia="仿宋" w:cs="Times New Roman"/>
          <w:kern w:val="0"/>
          <w:sz w:val="28"/>
          <w:szCs w:val="28"/>
          <w:lang w:val="en-US" w:eastAsia="zh-CN" w:bidi="ar-SA"/>
        </w:rPr>
        <w:t>的测定》等。数据统计标准主要用于规范数据结果的统计，包括《数据的统计处理和解释 正态样本离群值的判断和处理》和 《数据的统计处理和解释 正态分布均值和方差的估计与检验》。评价标准主要为了对标已有的评价指标和指标值，主要是</w:t>
      </w:r>
      <w:r>
        <w:rPr>
          <w:rFonts w:hint="eastAsia" w:ascii="仿宋" w:hAnsi="仿宋" w:eastAsia="仿宋" w:cstheme="minorBidi"/>
          <w:kern w:val="2"/>
          <w:sz w:val="28"/>
          <w:szCs w:val="28"/>
          <w:lang w:val="en-US" w:eastAsia="zh-CN" w:bidi="ar-SA"/>
        </w:rPr>
        <w:t>《地理标志农产品品质鉴定与质量控制技术规范 谷物类》、《地理标志产品 蔚州贡米（蔚州小米）》、《赤峰小米》等。</w:t>
      </w:r>
    </w:p>
    <w:p w14:paraId="149DFD1C">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2.3样品准备要求的确定</w:t>
      </w:r>
    </w:p>
    <w:p w14:paraId="6DA1332F">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样品准备要求主要根据通用农产品抽样规范制定，分为基地样品抽取和流通领域样品抽取。在品种上以内蒙古种植的稳定性良好的主要代表品种，规定了主要品种不宜多于3种。在抽样要求上规定了样品的真实性、代表性以及信息的完整性。在样品保存上，根据评价指标对应检测标准要求，提出了样品制备、样品量和保存条件的要求。具体制备要求和保存条件如表2所示。</w:t>
      </w:r>
    </w:p>
    <w:p w14:paraId="57768362">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表</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cstheme="minorEastAsia"/>
          <w:b/>
          <w:bCs/>
          <w:sz w:val="28"/>
          <w:szCs w:val="28"/>
          <w:lang w:val="en-US" w:eastAsia="zh-CN"/>
        </w:rPr>
        <w:t>小米</w:t>
      </w:r>
      <w:r>
        <w:rPr>
          <w:rFonts w:hint="eastAsia" w:asciiTheme="minorEastAsia" w:hAnsiTheme="minorEastAsia" w:eastAsiaTheme="minorEastAsia" w:cstheme="minorEastAsia"/>
          <w:b/>
          <w:bCs/>
          <w:sz w:val="28"/>
          <w:szCs w:val="28"/>
          <w:lang w:val="en-US" w:eastAsia="zh-CN"/>
        </w:rPr>
        <w:t>样品制备和保存条件的要求</w:t>
      </w:r>
    </w:p>
    <w:tbl>
      <w:tblPr>
        <w:tblStyle w:val="6"/>
        <w:tblW w:w="5397" w:type="pct"/>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15"/>
        <w:gridCol w:w="3829"/>
        <w:gridCol w:w="3355"/>
      </w:tblGrid>
      <w:tr w14:paraId="0D514D69">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095" w:type="pct"/>
            <w:tcBorders>
              <w:bottom w:val="single" w:color="000000" w:sz="4" w:space="0"/>
            </w:tcBorders>
            <w:shd w:val="clear" w:color="auto" w:fill="auto"/>
            <w:vAlign w:val="center"/>
          </w:tcPr>
          <w:p w14:paraId="229B375B">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检测项目</w:t>
            </w:r>
          </w:p>
        </w:tc>
        <w:tc>
          <w:tcPr>
            <w:tcW w:w="2081" w:type="pct"/>
            <w:tcBorders>
              <w:bottom w:val="single" w:color="000000" w:sz="4" w:space="0"/>
            </w:tcBorders>
            <w:shd w:val="clear" w:color="auto" w:fill="auto"/>
            <w:vAlign w:val="center"/>
          </w:tcPr>
          <w:p w14:paraId="3D6A2FB7">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样品制备要求</w:t>
            </w:r>
          </w:p>
        </w:tc>
        <w:tc>
          <w:tcPr>
            <w:tcW w:w="1823" w:type="pct"/>
            <w:tcBorders>
              <w:bottom w:val="single" w:color="000000" w:sz="4" w:space="0"/>
            </w:tcBorders>
            <w:shd w:val="clear" w:color="auto" w:fill="auto"/>
            <w:vAlign w:val="center"/>
          </w:tcPr>
          <w:p w14:paraId="346C5510">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保存条件</w:t>
            </w:r>
          </w:p>
        </w:tc>
      </w:tr>
      <w:tr w14:paraId="2B441946">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95" w:type="pct"/>
            <w:tcBorders>
              <w:top w:val="single" w:color="000000" w:sz="4" w:space="0"/>
              <w:tl2br w:val="nil"/>
              <w:tr2bl w:val="nil"/>
            </w:tcBorders>
            <w:shd w:val="clear" w:color="auto" w:fill="auto"/>
            <w:vAlign w:val="center"/>
          </w:tcPr>
          <w:p w14:paraId="3ACD7D8D">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淀粉</w:t>
            </w:r>
          </w:p>
        </w:tc>
        <w:tc>
          <w:tcPr>
            <w:tcW w:w="2081" w:type="pct"/>
            <w:tcBorders>
              <w:top w:val="single" w:color="000000" w:sz="4" w:space="0"/>
              <w:tl2br w:val="nil"/>
              <w:tr2bl w:val="nil"/>
            </w:tcBorders>
            <w:shd w:val="clear" w:color="auto" w:fill="auto"/>
            <w:vAlign w:val="center"/>
          </w:tcPr>
          <w:p w14:paraId="088B2970">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op w:val="single" w:color="000000" w:sz="4" w:space="0"/>
              <w:tl2br w:val="nil"/>
              <w:tr2bl w:val="nil"/>
            </w:tcBorders>
            <w:shd w:val="clear" w:color="auto" w:fill="auto"/>
            <w:vAlign w:val="center"/>
          </w:tcPr>
          <w:p w14:paraId="2C93757C">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0C3CE50B">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095" w:type="pct"/>
            <w:tcBorders>
              <w:tl2br w:val="nil"/>
              <w:tr2bl w:val="nil"/>
            </w:tcBorders>
            <w:shd w:val="clear" w:color="auto" w:fill="auto"/>
            <w:vAlign w:val="center"/>
          </w:tcPr>
          <w:p w14:paraId="5B16C72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直链淀粉</w:t>
            </w:r>
          </w:p>
        </w:tc>
        <w:tc>
          <w:tcPr>
            <w:tcW w:w="2081" w:type="pct"/>
            <w:tcBorders>
              <w:tl2br w:val="nil"/>
              <w:tr2bl w:val="nil"/>
            </w:tcBorders>
            <w:shd w:val="clear" w:color="auto" w:fill="auto"/>
            <w:vAlign w:val="center"/>
          </w:tcPr>
          <w:p w14:paraId="520D5999">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粉碎混匀后，通过0.177mm筛</w:t>
            </w:r>
          </w:p>
        </w:tc>
        <w:tc>
          <w:tcPr>
            <w:tcW w:w="1823" w:type="pct"/>
            <w:tcBorders>
              <w:tl2br w:val="nil"/>
              <w:tr2bl w:val="nil"/>
            </w:tcBorders>
            <w:shd w:val="clear" w:color="auto" w:fill="auto"/>
            <w:vAlign w:val="center"/>
          </w:tcPr>
          <w:p w14:paraId="72BA84C1">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4A9B3A0D">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095" w:type="pct"/>
            <w:tcBorders>
              <w:tl2br w:val="nil"/>
              <w:tr2bl w:val="nil"/>
            </w:tcBorders>
            <w:shd w:val="clear" w:color="auto" w:fill="auto"/>
            <w:vAlign w:val="center"/>
          </w:tcPr>
          <w:p w14:paraId="49B07669">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氨基酸总量</w:t>
            </w:r>
          </w:p>
        </w:tc>
        <w:tc>
          <w:tcPr>
            <w:tcW w:w="2081" w:type="pct"/>
            <w:tcBorders>
              <w:tl2br w:val="nil"/>
              <w:tr2bl w:val="nil"/>
            </w:tcBorders>
            <w:shd w:val="clear" w:color="auto" w:fill="auto"/>
            <w:vAlign w:val="center"/>
          </w:tcPr>
          <w:p w14:paraId="7644548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06BDF53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5FB70A18">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2015" w:type="dxa"/>
            <w:tcBorders>
              <w:tl2br w:val="nil"/>
              <w:tr2bl w:val="nil"/>
            </w:tcBorders>
            <w:shd w:val="clear" w:color="auto" w:fill="auto"/>
            <w:vAlign w:val="center"/>
          </w:tcPr>
          <w:p w14:paraId="469163BC">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脂肪</w:t>
            </w:r>
          </w:p>
        </w:tc>
        <w:tc>
          <w:tcPr>
            <w:tcW w:w="3829" w:type="dxa"/>
            <w:tcBorders>
              <w:tl2br w:val="nil"/>
              <w:tr2bl w:val="nil"/>
            </w:tcBorders>
            <w:shd w:val="clear" w:color="auto" w:fill="auto"/>
            <w:vAlign w:val="center"/>
          </w:tcPr>
          <w:p w14:paraId="1D1E8DC4">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3355" w:type="dxa"/>
            <w:tcBorders>
              <w:tl2br w:val="nil"/>
              <w:tr2bl w:val="nil"/>
            </w:tcBorders>
            <w:shd w:val="clear" w:color="auto" w:fill="auto"/>
            <w:vAlign w:val="center"/>
          </w:tcPr>
          <w:p w14:paraId="41B3310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62CBFA9B">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095" w:type="pct"/>
            <w:tcBorders>
              <w:tl2br w:val="nil"/>
              <w:tr2bl w:val="nil"/>
            </w:tcBorders>
            <w:shd w:val="clear" w:color="auto" w:fill="auto"/>
            <w:vAlign w:val="center"/>
          </w:tcPr>
          <w:p w14:paraId="37E71D06">
            <w:pPr>
              <w:pStyle w:val="11"/>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脂肪</w:t>
            </w:r>
            <w:r>
              <w:rPr>
                <w:rFonts w:hint="eastAsia" w:hAnsi="宋体" w:cs="宋体"/>
                <w:sz w:val="21"/>
                <w:szCs w:val="21"/>
                <w:lang w:val="en-US" w:eastAsia="zh-CN"/>
              </w:rPr>
              <w:t>酸</w:t>
            </w:r>
          </w:p>
        </w:tc>
        <w:tc>
          <w:tcPr>
            <w:tcW w:w="2081" w:type="pct"/>
            <w:tcBorders>
              <w:tl2br w:val="nil"/>
              <w:tr2bl w:val="nil"/>
            </w:tcBorders>
            <w:shd w:val="clear" w:color="auto" w:fill="auto"/>
            <w:vAlign w:val="center"/>
          </w:tcPr>
          <w:p w14:paraId="2DEF066F">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36CB8107">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1CCFAFCE">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095" w:type="pct"/>
            <w:tcBorders>
              <w:tl2br w:val="nil"/>
              <w:tr2bl w:val="nil"/>
            </w:tcBorders>
            <w:shd w:val="clear" w:color="auto" w:fill="auto"/>
            <w:vAlign w:val="center"/>
          </w:tcPr>
          <w:p w14:paraId="01211DB1">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维生素B</w:t>
            </w:r>
            <w:r>
              <w:rPr>
                <w:rFonts w:hint="eastAsia" w:ascii="宋体" w:hAnsi="宋体" w:eastAsia="宋体" w:cs="宋体"/>
                <w:sz w:val="21"/>
                <w:szCs w:val="21"/>
                <w:vertAlign w:val="subscript"/>
                <w:lang w:val="en-US" w:eastAsia="zh-CN"/>
              </w:rPr>
              <w:t>1</w:t>
            </w:r>
          </w:p>
        </w:tc>
        <w:tc>
          <w:tcPr>
            <w:tcW w:w="2081" w:type="pct"/>
            <w:tcBorders>
              <w:tl2br w:val="nil"/>
              <w:tr2bl w:val="nil"/>
            </w:tcBorders>
            <w:shd w:val="clear" w:color="auto" w:fill="auto"/>
            <w:vAlign w:val="center"/>
          </w:tcPr>
          <w:p w14:paraId="4545AA34">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32D0C3C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7BCD05F1">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095" w:type="pct"/>
            <w:tcBorders>
              <w:tl2br w:val="nil"/>
              <w:tr2bl w:val="nil"/>
            </w:tcBorders>
            <w:shd w:val="clear" w:color="auto" w:fill="auto"/>
            <w:vAlign w:val="center"/>
          </w:tcPr>
          <w:p w14:paraId="2F176E86">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维生素E</w:t>
            </w:r>
          </w:p>
        </w:tc>
        <w:tc>
          <w:tcPr>
            <w:tcW w:w="2081" w:type="pct"/>
            <w:tcBorders>
              <w:tl2br w:val="nil"/>
              <w:tr2bl w:val="nil"/>
            </w:tcBorders>
            <w:shd w:val="clear" w:color="auto" w:fill="auto"/>
            <w:vAlign w:val="center"/>
          </w:tcPr>
          <w:p w14:paraId="28F7A6A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2BB302D3">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195A6AB3">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1095" w:type="pct"/>
            <w:tcBorders>
              <w:tl2br w:val="nil"/>
              <w:tr2bl w:val="nil"/>
            </w:tcBorders>
            <w:shd w:val="clear" w:color="auto" w:fill="auto"/>
            <w:vAlign w:val="center"/>
          </w:tcPr>
          <w:p w14:paraId="535C557E">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锌、铁、钾等矿质元素</w:t>
            </w:r>
          </w:p>
        </w:tc>
        <w:tc>
          <w:tcPr>
            <w:tcW w:w="2081" w:type="pct"/>
            <w:tcBorders>
              <w:tl2br w:val="nil"/>
              <w:tr2bl w:val="nil"/>
            </w:tcBorders>
            <w:shd w:val="clear" w:color="auto" w:fill="auto"/>
            <w:vAlign w:val="center"/>
          </w:tcPr>
          <w:p w14:paraId="1F9A5BF9">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484CA423">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6C203EC6">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1095" w:type="pct"/>
            <w:tcBorders>
              <w:tl2br w:val="nil"/>
              <w:tr2bl w:val="nil"/>
            </w:tcBorders>
            <w:shd w:val="clear" w:color="auto" w:fill="auto"/>
            <w:vAlign w:val="center"/>
          </w:tcPr>
          <w:p w14:paraId="0641B3E3">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胶稠度</w:t>
            </w:r>
          </w:p>
        </w:tc>
        <w:tc>
          <w:tcPr>
            <w:tcW w:w="2081" w:type="pct"/>
            <w:tcBorders>
              <w:tl2br w:val="nil"/>
              <w:tr2bl w:val="nil"/>
            </w:tcBorders>
            <w:shd w:val="clear" w:color="auto" w:fill="auto"/>
            <w:vAlign w:val="center"/>
          </w:tcPr>
          <w:p w14:paraId="4B3BA147">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粉碎混匀后，通过0.15mm筛</w:t>
            </w:r>
          </w:p>
        </w:tc>
        <w:tc>
          <w:tcPr>
            <w:tcW w:w="1823" w:type="pct"/>
            <w:tcBorders>
              <w:tl2br w:val="nil"/>
              <w:tr2bl w:val="nil"/>
            </w:tcBorders>
            <w:shd w:val="clear" w:color="auto" w:fill="auto"/>
            <w:vAlign w:val="center"/>
          </w:tcPr>
          <w:p w14:paraId="4AB44774">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室温、阴凉干燥处</w:t>
            </w:r>
          </w:p>
        </w:tc>
      </w:tr>
      <w:tr w14:paraId="180B5B0A">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1095" w:type="pct"/>
            <w:tcBorders>
              <w:tl2br w:val="nil"/>
              <w:tr2bl w:val="nil"/>
            </w:tcBorders>
            <w:shd w:val="clear" w:color="auto" w:fill="auto"/>
            <w:vAlign w:val="center"/>
          </w:tcPr>
          <w:p w14:paraId="75138294">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挥发性风味物质</w:t>
            </w:r>
          </w:p>
        </w:tc>
        <w:tc>
          <w:tcPr>
            <w:tcW w:w="2081" w:type="pct"/>
            <w:tcBorders>
              <w:tl2br w:val="nil"/>
              <w:tr2bl w:val="nil"/>
            </w:tcBorders>
            <w:shd w:val="clear" w:color="auto" w:fill="auto"/>
            <w:vAlign w:val="center"/>
          </w:tcPr>
          <w:p w14:paraId="0BE6208D">
            <w:pPr>
              <w:pStyle w:val="11"/>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完整小米</w:t>
            </w:r>
            <w:r>
              <w:rPr>
                <w:rFonts w:hint="eastAsia" w:hAnsi="宋体" w:cs="宋体"/>
                <w:sz w:val="21"/>
                <w:szCs w:val="21"/>
                <w:lang w:val="en-US" w:eastAsia="zh-CN"/>
              </w:rPr>
              <w:t>，按照附录B制备米粥</w:t>
            </w:r>
          </w:p>
        </w:tc>
        <w:tc>
          <w:tcPr>
            <w:tcW w:w="1823" w:type="pct"/>
            <w:tcBorders>
              <w:tl2br w:val="nil"/>
              <w:tr2bl w:val="nil"/>
            </w:tcBorders>
            <w:shd w:val="clear" w:color="auto" w:fill="auto"/>
            <w:vAlign w:val="center"/>
          </w:tcPr>
          <w:p w14:paraId="37D298F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bl>
    <w:p w14:paraId="0D3605B1">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2.4评价指标和样品验证</w:t>
      </w:r>
    </w:p>
    <w:p w14:paraId="0C69500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指标选择来源主要依据</w:t>
      </w:r>
      <w:r>
        <w:rPr>
          <w:rFonts w:hint="eastAsia" w:ascii="仿宋" w:hAnsi="仿宋" w:eastAsia="仿宋"/>
          <w:sz w:val="28"/>
          <w:szCs w:val="28"/>
          <w:lang w:val="en-US" w:eastAsia="zh-CN"/>
        </w:rPr>
        <w:t>《内蒙古小米品质评鉴总结报告》（2020年至2023年），结果显示</w:t>
      </w:r>
      <w:r>
        <w:rPr>
          <w:rFonts w:hint="eastAsia" w:ascii="仿宋" w:hAnsi="仿宋" w:eastAsia="仿宋" w:cs="Times New Roman"/>
          <w:kern w:val="0"/>
          <w:sz w:val="28"/>
          <w:szCs w:val="28"/>
          <w:lang w:val="en-US" w:eastAsia="zh-CN" w:bidi="ar-SA"/>
        </w:rPr>
        <w:t>内蒙古小米在直链淀粉、甜味氨基酸、鲜味氨基酸、脂肪酸上含量和组成优势显著。特别是赤峰小米的风味氨基酸、硒元素及维生素D</w:t>
      </w:r>
      <w:r>
        <w:rPr>
          <w:rFonts w:hint="eastAsia" w:ascii="仿宋" w:hAnsi="仿宋" w:eastAsia="仿宋" w:cs="Times New Roman"/>
          <w:kern w:val="0"/>
          <w:sz w:val="28"/>
          <w:szCs w:val="28"/>
          <w:vertAlign w:val="subscript"/>
          <w:lang w:val="en-US" w:eastAsia="zh-CN" w:bidi="ar-SA"/>
        </w:rPr>
        <w:t>2</w:t>
      </w:r>
      <w:r>
        <w:rPr>
          <w:rFonts w:hint="eastAsia" w:ascii="仿宋" w:hAnsi="仿宋" w:eastAsia="仿宋" w:cs="Times New Roman"/>
          <w:kern w:val="0"/>
          <w:sz w:val="28"/>
          <w:szCs w:val="28"/>
          <w:lang w:val="en-US" w:eastAsia="zh-CN" w:bidi="ar-SA"/>
        </w:rPr>
        <w:t>含量明显居优，在挥发性风味物质的含量和组成上也具有产品优势。赤峰小米的多酚、黄酮、多糖含量等功能性成分上含量较高。</w:t>
      </w:r>
    </w:p>
    <w:p w14:paraId="6F2425C3">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8"/>
          <w:szCs w:val="28"/>
          <w:lang w:val="en-US" w:eastAsia="zh-CN"/>
        </w:rPr>
        <w:t>表</w:t>
      </w:r>
      <w:r>
        <w:rPr>
          <w:rFonts w:hint="eastAsia" w:asciiTheme="minorEastAsia" w:hAnsiTheme="minorEastAsia" w:cstheme="minorEastAsia"/>
          <w:b/>
          <w:bCs/>
          <w:sz w:val="28"/>
          <w:szCs w:val="28"/>
          <w:lang w:val="en-US" w:eastAsia="zh-CN"/>
        </w:rPr>
        <w:t>3</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小米品质评价数据统计量</w:t>
      </w:r>
    </w:p>
    <w:tbl>
      <w:tblPr>
        <w:tblStyle w:val="6"/>
        <w:tblW w:w="8837"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70"/>
        <w:gridCol w:w="1220"/>
        <w:gridCol w:w="2049"/>
        <w:gridCol w:w="2549"/>
        <w:gridCol w:w="2049"/>
      </w:tblGrid>
      <w:tr w14:paraId="057442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8" w:hRule="atLeast"/>
        </w:trPr>
        <w:tc>
          <w:tcPr>
            <w:tcW w:w="0" w:type="auto"/>
            <w:tcBorders>
              <w:bottom w:val="single" w:color="auto" w:sz="4" w:space="0"/>
            </w:tcBorders>
            <w:shd w:val="clear" w:color="auto" w:fill="FFFFFF"/>
            <w:tcMar>
              <w:top w:w="72" w:type="dxa"/>
              <w:left w:w="144" w:type="dxa"/>
              <w:bottom w:w="72" w:type="dxa"/>
              <w:right w:w="144" w:type="dxa"/>
            </w:tcMar>
            <w:vAlign w:val="center"/>
          </w:tcPr>
          <w:p w14:paraId="239BD5C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产品</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414F1DD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年度</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1C4B318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样品量（批次）</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0EEF5BF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测定指标数量（个）</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2CE95EE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年度合计（个）</w:t>
            </w:r>
          </w:p>
        </w:tc>
      </w:tr>
      <w:tr w14:paraId="572DA40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2" w:hRule="atLeast"/>
        </w:trPr>
        <w:tc>
          <w:tcPr>
            <w:tcW w:w="0" w:type="auto"/>
            <w:vMerge w:val="restart"/>
            <w:tcBorders>
              <w:top w:val="single" w:color="auto" w:sz="4" w:space="0"/>
              <w:tl2br w:val="nil"/>
              <w:tr2bl w:val="nil"/>
            </w:tcBorders>
            <w:shd w:val="clear" w:color="auto" w:fill="FFFFFF"/>
            <w:tcMar>
              <w:left w:w="108" w:type="dxa"/>
              <w:right w:w="108" w:type="dxa"/>
            </w:tcMar>
            <w:vAlign w:val="center"/>
          </w:tcPr>
          <w:p w14:paraId="24CCFF6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小米</w:t>
            </w:r>
          </w:p>
        </w:tc>
        <w:tc>
          <w:tcPr>
            <w:tcW w:w="1220" w:type="dxa"/>
            <w:tcBorders>
              <w:top w:val="single" w:color="auto" w:sz="4" w:space="0"/>
              <w:tl2br w:val="nil"/>
              <w:tr2bl w:val="nil"/>
            </w:tcBorders>
            <w:shd w:val="clear" w:color="auto" w:fill="FFFFFF"/>
            <w:tcMar>
              <w:left w:w="108" w:type="dxa"/>
              <w:right w:w="108" w:type="dxa"/>
            </w:tcMar>
            <w:vAlign w:val="center"/>
          </w:tcPr>
          <w:p w14:paraId="74B6E8F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2020年</w:t>
            </w:r>
          </w:p>
        </w:tc>
        <w:tc>
          <w:tcPr>
            <w:tcW w:w="2049" w:type="dxa"/>
            <w:tcBorders>
              <w:top w:val="single" w:color="auto" w:sz="4" w:space="0"/>
              <w:tl2br w:val="nil"/>
              <w:tr2bl w:val="nil"/>
            </w:tcBorders>
            <w:shd w:val="clear" w:color="auto" w:fill="FFFFFF"/>
            <w:tcMar>
              <w:left w:w="108" w:type="dxa"/>
              <w:right w:w="108" w:type="dxa"/>
            </w:tcMar>
            <w:vAlign w:val="center"/>
          </w:tcPr>
          <w:p w14:paraId="7167645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154</w:t>
            </w:r>
          </w:p>
        </w:tc>
        <w:tc>
          <w:tcPr>
            <w:tcW w:w="2549" w:type="dxa"/>
            <w:tcBorders>
              <w:top w:val="single" w:color="auto" w:sz="4" w:space="0"/>
              <w:tl2br w:val="nil"/>
              <w:tr2bl w:val="nil"/>
            </w:tcBorders>
            <w:shd w:val="clear" w:color="auto" w:fill="FFFFFF"/>
            <w:tcMar>
              <w:left w:w="108" w:type="dxa"/>
              <w:right w:w="108" w:type="dxa"/>
            </w:tcMar>
            <w:vAlign w:val="center"/>
          </w:tcPr>
          <w:p w14:paraId="3D4865A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11</w:t>
            </w:r>
          </w:p>
        </w:tc>
        <w:tc>
          <w:tcPr>
            <w:tcW w:w="2049" w:type="dxa"/>
            <w:tcBorders>
              <w:top w:val="single" w:color="auto" w:sz="4" w:space="0"/>
              <w:tl2br w:val="nil"/>
              <w:tr2bl w:val="nil"/>
            </w:tcBorders>
            <w:shd w:val="clear" w:color="auto" w:fill="FFFFFF"/>
            <w:tcMar>
              <w:left w:w="108" w:type="dxa"/>
              <w:right w:w="108" w:type="dxa"/>
            </w:tcMar>
            <w:vAlign w:val="center"/>
          </w:tcPr>
          <w:p w14:paraId="0716C8B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1161</w:t>
            </w:r>
          </w:p>
        </w:tc>
      </w:tr>
      <w:tr w14:paraId="1B8BC7F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583" w:hRule="atLeast"/>
        </w:trPr>
        <w:tc>
          <w:tcPr>
            <w:tcW w:w="0" w:type="auto"/>
            <w:vMerge w:val="continue"/>
            <w:tcBorders>
              <w:tl2br w:val="nil"/>
              <w:tr2bl w:val="nil"/>
            </w:tcBorders>
            <w:shd w:val="clear" w:color="auto" w:fill="FFFFFF"/>
            <w:tcMar>
              <w:left w:w="108" w:type="dxa"/>
              <w:right w:w="108" w:type="dxa"/>
            </w:tcMar>
            <w:vAlign w:val="center"/>
          </w:tcPr>
          <w:p w14:paraId="7276ABE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1220" w:type="dxa"/>
            <w:tcBorders>
              <w:tl2br w:val="nil"/>
              <w:tr2bl w:val="nil"/>
            </w:tcBorders>
            <w:shd w:val="clear" w:color="auto" w:fill="FFFFFF"/>
            <w:tcMar>
              <w:left w:w="108" w:type="dxa"/>
              <w:right w:w="108" w:type="dxa"/>
            </w:tcMar>
            <w:vAlign w:val="center"/>
          </w:tcPr>
          <w:p w14:paraId="0AEA1E8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2021年</w:t>
            </w:r>
          </w:p>
        </w:tc>
        <w:tc>
          <w:tcPr>
            <w:tcW w:w="2049" w:type="dxa"/>
            <w:tcBorders>
              <w:tl2br w:val="nil"/>
              <w:tr2bl w:val="nil"/>
            </w:tcBorders>
            <w:shd w:val="clear" w:color="auto" w:fill="FFFFFF"/>
            <w:tcMar>
              <w:left w:w="108" w:type="dxa"/>
              <w:right w:w="108" w:type="dxa"/>
            </w:tcMar>
            <w:vAlign w:val="center"/>
          </w:tcPr>
          <w:p w14:paraId="18139D9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89</w:t>
            </w:r>
          </w:p>
        </w:tc>
        <w:tc>
          <w:tcPr>
            <w:tcW w:w="2549" w:type="dxa"/>
            <w:tcBorders>
              <w:tl2br w:val="nil"/>
              <w:tr2bl w:val="nil"/>
            </w:tcBorders>
            <w:shd w:val="clear" w:color="auto" w:fill="FFFFFF"/>
            <w:tcMar>
              <w:left w:w="108" w:type="dxa"/>
              <w:right w:w="108" w:type="dxa"/>
            </w:tcMar>
            <w:vAlign w:val="center"/>
          </w:tcPr>
          <w:p w14:paraId="7A9BBCD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38</w:t>
            </w:r>
          </w:p>
        </w:tc>
        <w:tc>
          <w:tcPr>
            <w:tcW w:w="2049" w:type="dxa"/>
            <w:tcBorders>
              <w:tl2br w:val="nil"/>
              <w:tr2bl w:val="nil"/>
            </w:tcBorders>
            <w:shd w:val="clear" w:color="auto" w:fill="FFFFFF"/>
            <w:tcMar>
              <w:left w:w="108" w:type="dxa"/>
              <w:right w:w="108" w:type="dxa"/>
            </w:tcMar>
            <w:vAlign w:val="center"/>
          </w:tcPr>
          <w:p w14:paraId="6ACC8D1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3738</w:t>
            </w:r>
          </w:p>
        </w:tc>
      </w:tr>
      <w:tr w14:paraId="475FD1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3" w:hRule="atLeast"/>
        </w:trPr>
        <w:tc>
          <w:tcPr>
            <w:tcW w:w="0" w:type="auto"/>
            <w:vMerge w:val="continue"/>
            <w:tcBorders>
              <w:tl2br w:val="nil"/>
              <w:tr2bl w:val="nil"/>
            </w:tcBorders>
            <w:shd w:val="clear" w:color="auto" w:fill="FFFFFF"/>
            <w:tcMar>
              <w:left w:w="108" w:type="dxa"/>
              <w:right w:w="108" w:type="dxa"/>
            </w:tcMar>
            <w:vAlign w:val="center"/>
          </w:tcPr>
          <w:p w14:paraId="7690B33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1220" w:type="dxa"/>
            <w:tcBorders>
              <w:tl2br w:val="nil"/>
              <w:tr2bl w:val="nil"/>
            </w:tcBorders>
            <w:shd w:val="clear" w:color="auto" w:fill="FFFFFF"/>
            <w:tcMar>
              <w:left w:w="108" w:type="dxa"/>
              <w:right w:w="108" w:type="dxa"/>
            </w:tcMar>
            <w:vAlign w:val="center"/>
          </w:tcPr>
          <w:p w14:paraId="641302B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2022年</w:t>
            </w:r>
          </w:p>
        </w:tc>
        <w:tc>
          <w:tcPr>
            <w:tcW w:w="2049" w:type="dxa"/>
            <w:tcBorders>
              <w:tl2br w:val="nil"/>
              <w:tr2bl w:val="nil"/>
            </w:tcBorders>
            <w:shd w:val="clear" w:color="auto" w:fill="FFFFFF"/>
            <w:tcMar>
              <w:left w:w="108" w:type="dxa"/>
              <w:right w:w="108" w:type="dxa"/>
            </w:tcMar>
            <w:vAlign w:val="center"/>
          </w:tcPr>
          <w:p w14:paraId="1EA1EC6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111</w:t>
            </w:r>
          </w:p>
        </w:tc>
        <w:tc>
          <w:tcPr>
            <w:tcW w:w="2549" w:type="dxa"/>
            <w:tcBorders>
              <w:tl2br w:val="nil"/>
              <w:tr2bl w:val="nil"/>
            </w:tcBorders>
            <w:shd w:val="clear" w:color="auto" w:fill="FFFFFF"/>
            <w:tcMar>
              <w:left w:w="108" w:type="dxa"/>
              <w:right w:w="108" w:type="dxa"/>
            </w:tcMar>
            <w:vAlign w:val="center"/>
          </w:tcPr>
          <w:p w14:paraId="4BC5325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38</w:t>
            </w:r>
          </w:p>
        </w:tc>
        <w:tc>
          <w:tcPr>
            <w:tcW w:w="2049" w:type="dxa"/>
            <w:tcBorders>
              <w:tl2br w:val="nil"/>
              <w:tr2bl w:val="nil"/>
            </w:tcBorders>
            <w:shd w:val="clear" w:color="auto" w:fill="FFFFFF"/>
            <w:tcMar>
              <w:left w:w="108" w:type="dxa"/>
              <w:right w:w="108" w:type="dxa"/>
            </w:tcMar>
            <w:vAlign w:val="center"/>
          </w:tcPr>
          <w:p w14:paraId="208DDCB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4418</w:t>
            </w:r>
          </w:p>
        </w:tc>
      </w:tr>
      <w:tr w14:paraId="7864198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7" w:hRule="atLeast"/>
        </w:trPr>
        <w:tc>
          <w:tcPr>
            <w:tcW w:w="0" w:type="auto"/>
            <w:vMerge w:val="continue"/>
            <w:tcBorders>
              <w:tl2br w:val="nil"/>
              <w:tr2bl w:val="nil"/>
            </w:tcBorders>
            <w:shd w:val="clear" w:color="auto" w:fill="FFFFFF"/>
            <w:tcMar>
              <w:left w:w="108" w:type="dxa"/>
              <w:right w:w="108" w:type="dxa"/>
            </w:tcMar>
            <w:vAlign w:val="center"/>
          </w:tcPr>
          <w:p w14:paraId="360C6E5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1220" w:type="dxa"/>
            <w:tcBorders>
              <w:tl2br w:val="nil"/>
              <w:tr2bl w:val="nil"/>
            </w:tcBorders>
            <w:shd w:val="clear" w:color="auto" w:fill="FFFFFF"/>
            <w:tcMar>
              <w:left w:w="108" w:type="dxa"/>
              <w:right w:w="108" w:type="dxa"/>
            </w:tcMar>
            <w:vAlign w:val="center"/>
          </w:tcPr>
          <w:p w14:paraId="19EBCDC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三年合计</w:t>
            </w:r>
          </w:p>
        </w:tc>
        <w:tc>
          <w:tcPr>
            <w:tcW w:w="2049" w:type="dxa"/>
            <w:tcBorders>
              <w:tl2br w:val="nil"/>
              <w:tr2bl w:val="nil"/>
            </w:tcBorders>
            <w:shd w:val="clear" w:color="auto" w:fill="FFFFFF"/>
            <w:tcMar>
              <w:left w:w="108" w:type="dxa"/>
              <w:right w:w="108" w:type="dxa"/>
            </w:tcMar>
            <w:vAlign w:val="center"/>
          </w:tcPr>
          <w:p w14:paraId="723BFFE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343</w:t>
            </w:r>
          </w:p>
        </w:tc>
        <w:tc>
          <w:tcPr>
            <w:tcW w:w="2549" w:type="dxa"/>
            <w:tcBorders>
              <w:tl2br w:val="nil"/>
              <w:tr2bl w:val="nil"/>
            </w:tcBorders>
            <w:shd w:val="clear" w:color="auto" w:fill="FFFFFF"/>
            <w:tcMar>
              <w:left w:w="108" w:type="dxa"/>
              <w:right w:w="108" w:type="dxa"/>
            </w:tcMar>
            <w:vAlign w:val="center"/>
          </w:tcPr>
          <w:p w14:paraId="507BE7B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87（有重复）</w:t>
            </w:r>
          </w:p>
        </w:tc>
        <w:tc>
          <w:tcPr>
            <w:tcW w:w="2049" w:type="dxa"/>
            <w:tcBorders>
              <w:tl2br w:val="nil"/>
              <w:tr2bl w:val="nil"/>
            </w:tcBorders>
            <w:shd w:val="clear" w:color="auto" w:fill="FFFFFF"/>
            <w:tcMar>
              <w:left w:w="108" w:type="dxa"/>
              <w:right w:w="108" w:type="dxa"/>
            </w:tcMar>
            <w:vAlign w:val="center"/>
          </w:tcPr>
          <w:p w14:paraId="348D353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9317</w:t>
            </w:r>
          </w:p>
        </w:tc>
      </w:tr>
    </w:tbl>
    <w:p w14:paraId="6A0A164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48CB8C6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图1显示内蒙古小米直链淀粉含量优于全国平均水平。赤峰小米的蛋白质和直链淀粉优势显著，达到优级米标准，为非糯小米。</w:t>
      </w:r>
    </w:p>
    <w:p w14:paraId="36D2F368">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inline distT="0" distB="0" distL="114300" distR="114300">
            <wp:extent cx="4543425" cy="2353945"/>
            <wp:effectExtent l="0" t="0" r="9525" b="8255"/>
            <wp:docPr id="55" name="图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1447C2DE">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cstheme="minorEastAsia"/>
          <w:color w:val="000000"/>
          <w:kern w:val="0"/>
          <w:sz w:val="24"/>
          <w:szCs w:val="24"/>
          <w:lang w:val="en-US" w:eastAsia="zh-CN" w:bidi="ar"/>
        </w:rPr>
      </w:pPr>
      <w:r>
        <w:rPr>
          <w:rFonts w:hint="eastAsia" w:asciiTheme="minorEastAsia" w:hAnsiTheme="minorEastAsia" w:eastAsiaTheme="minorEastAsia" w:cstheme="minorEastAsia"/>
          <w:b/>
          <w:bCs/>
          <w:sz w:val="28"/>
          <w:szCs w:val="28"/>
          <w:lang w:val="en-US" w:eastAsia="zh-CN"/>
        </w:rPr>
        <w:t>图1 内蒙古</w:t>
      </w:r>
      <w:r>
        <w:rPr>
          <w:rFonts w:hint="eastAsia" w:asciiTheme="minorEastAsia" w:hAnsiTheme="minorEastAsia" w:cstheme="minorEastAsia"/>
          <w:b/>
          <w:bCs/>
          <w:sz w:val="28"/>
          <w:szCs w:val="28"/>
          <w:lang w:val="en-US" w:eastAsia="zh-CN"/>
        </w:rPr>
        <w:t>小米基础品质指标</w:t>
      </w:r>
    </w:p>
    <w:p w14:paraId="3F674D1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2显示赤峰小米、兴安盟小米和清水河小米尤其在甜味氨基酸、鲜味氨基酸等呈味氨基酸指标优势显著。谷氨酸含量最高的是兴安盟小米，天冬氨酸、缬氨酸、丝氨酸、精氨酸、苏氨酸、甲硫氨酸、甘氨酸、亮氨酸、丙氨酸含量最高的均为赤峰小米。</w:t>
      </w:r>
    </w:p>
    <w:p w14:paraId="5B495A7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2" w:firstLineChars="200"/>
        <w:textAlignment w:val="auto"/>
        <w:rPr>
          <w:rFonts w:hint="eastAsia" w:ascii="仿宋" w:hAnsi="仿宋" w:eastAsia="仿宋" w:cs="Times New Roman"/>
          <w:b/>
          <w:bCs/>
          <w:kern w:val="0"/>
          <w:sz w:val="28"/>
          <w:szCs w:val="28"/>
          <w:lang w:val="en-US" w:eastAsia="zh-CN" w:bidi="ar-SA"/>
        </w:rPr>
      </w:pPr>
    </w:p>
    <w:p w14:paraId="65AE19BB">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inline distT="0" distB="0" distL="114300" distR="114300">
            <wp:extent cx="4281805" cy="2381885"/>
            <wp:effectExtent l="0" t="0" r="4445" b="18415"/>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6F0A557">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8"/>
          <w:szCs w:val="28"/>
          <w:lang w:val="en-US" w:eastAsia="zh-CN"/>
        </w:rPr>
        <w:t>图</w:t>
      </w:r>
      <w:r>
        <w:rPr>
          <w:rFonts w:hint="eastAsia" w:asciiTheme="minorEastAsia" w:hAnsiTheme="minorEastAsia" w:cstheme="minorEastAsia"/>
          <w:b/>
          <w:bCs/>
          <w:sz w:val="28"/>
          <w:szCs w:val="28"/>
          <w:lang w:val="en-US" w:eastAsia="zh-CN"/>
        </w:rPr>
        <w:t>2</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小米氨基酸</w:t>
      </w:r>
      <w:r>
        <w:rPr>
          <w:rFonts w:hint="eastAsia" w:asciiTheme="minorEastAsia" w:hAnsiTheme="minorEastAsia" w:eastAsiaTheme="minorEastAsia" w:cstheme="minorEastAsia"/>
          <w:b/>
          <w:bCs/>
          <w:sz w:val="28"/>
          <w:szCs w:val="28"/>
          <w:lang w:val="en-US" w:eastAsia="zh-CN"/>
        </w:rPr>
        <w:t>含量</w:t>
      </w:r>
    </w:p>
    <w:p w14:paraId="5108D766">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582EC88C">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图3显示清水河小米的维生素B</w:t>
      </w:r>
      <w:r>
        <w:rPr>
          <w:rFonts w:hint="eastAsia" w:ascii="仿宋" w:hAnsi="仿宋" w:eastAsia="仿宋" w:cs="Times New Roman"/>
          <w:kern w:val="0"/>
          <w:sz w:val="28"/>
          <w:szCs w:val="28"/>
          <w:vertAlign w:val="subscript"/>
          <w:lang w:val="en-US" w:eastAsia="zh-CN" w:bidi="ar-SA"/>
        </w:rPr>
        <w:t>1</w:t>
      </w:r>
      <w:r>
        <w:rPr>
          <w:rFonts w:hint="eastAsia" w:ascii="仿宋" w:hAnsi="仿宋" w:eastAsia="仿宋" w:cs="Times New Roman"/>
          <w:kern w:val="0"/>
          <w:sz w:val="28"/>
          <w:szCs w:val="28"/>
          <w:lang w:val="en-US" w:eastAsia="zh-CN" w:bidi="ar-SA"/>
        </w:rPr>
        <w:t>含量最高；准格尔旗小米的维生素D</w:t>
      </w:r>
      <w:r>
        <w:rPr>
          <w:rFonts w:hint="eastAsia" w:ascii="仿宋" w:hAnsi="仿宋" w:eastAsia="仿宋" w:cs="Times New Roman"/>
          <w:kern w:val="0"/>
          <w:sz w:val="28"/>
          <w:szCs w:val="28"/>
          <w:vertAlign w:val="subscript"/>
          <w:lang w:val="en-US" w:eastAsia="zh-CN" w:bidi="ar-SA"/>
        </w:rPr>
        <w:t>2</w:t>
      </w:r>
      <w:r>
        <w:rPr>
          <w:rFonts w:hint="eastAsia" w:ascii="仿宋" w:hAnsi="仿宋" w:eastAsia="仿宋" w:cs="Times New Roman"/>
          <w:kern w:val="0"/>
          <w:sz w:val="28"/>
          <w:szCs w:val="28"/>
          <w:lang w:val="en-US" w:eastAsia="zh-CN" w:bidi="ar-SA"/>
        </w:rPr>
        <w:t>含量最高；兴安盟小米的维生素B</w:t>
      </w:r>
      <w:r>
        <w:rPr>
          <w:rFonts w:hint="eastAsia" w:ascii="仿宋" w:hAnsi="仿宋" w:eastAsia="仿宋" w:cs="Times New Roman"/>
          <w:kern w:val="0"/>
          <w:sz w:val="28"/>
          <w:szCs w:val="28"/>
          <w:vertAlign w:val="subscript"/>
          <w:lang w:val="en-US" w:eastAsia="zh-CN" w:bidi="ar-SA"/>
        </w:rPr>
        <w:t>2</w:t>
      </w:r>
      <w:r>
        <w:rPr>
          <w:rFonts w:hint="eastAsia" w:ascii="仿宋" w:hAnsi="仿宋" w:eastAsia="仿宋" w:cs="Times New Roman"/>
          <w:kern w:val="0"/>
          <w:sz w:val="28"/>
          <w:szCs w:val="28"/>
          <w:lang w:val="en-US" w:eastAsia="zh-CN" w:bidi="ar-SA"/>
        </w:rPr>
        <w:t>含量最高；通辽奈曼旗小米的维生素D</w:t>
      </w:r>
      <w:r>
        <w:rPr>
          <w:rFonts w:hint="eastAsia" w:ascii="仿宋" w:hAnsi="仿宋" w:eastAsia="仿宋" w:cs="Times New Roman"/>
          <w:kern w:val="0"/>
          <w:sz w:val="28"/>
          <w:szCs w:val="28"/>
          <w:vertAlign w:val="subscript"/>
          <w:lang w:val="en-US" w:eastAsia="zh-CN" w:bidi="ar-SA"/>
        </w:rPr>
        <w:t>3</w:t>
      </w:r>
      <w:r>
        <w:rPr>
          <w:rFonts w:hint="eastAsia" w:ascii="仿宋" w:hAnsi="仿宋" w:eastAsia="仿宋" w:cs="Times New Roman"/>
          <w:kern w:val="0"/>
          <w:sz w:val="28"/>
          <w:szCs w:val="28"/>
          <w:lang w:val="en-US" w:eastAsia="zh-CN" w:bidi="ar-SA"/>
        </w:rPr>
        <w:t>含量、维生素E含量最高。整体来看，内蒙古小米水溶性、脂溶性维生素含量高于山西和河北优势产地小米。</w:t>
      </w:r>
    </w:p>
    <w:p w14:paraId="7932D090">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4F297730">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2E1CCA65">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4EE87613">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256337AD">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1A88770C">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default" w:ascii="仿宋" w:hAnsi="仿宋" w:eastAsia="仿宋" w:cs="Times New Roman"/>
          <w:kern w:val="0"/>
          <w:sz w:val="28"/>
          <w:szCs w:val="28"/>
          <w:lang w:val="en-US" w:eastAsia="zh-CN" w:bidi="ar-SA"/>
        </w:rPr>
      </w:pPr>
    </w:p>
    <w:p w14:paraId="58502DB1">
      <w:pPr>
        <w:keepNext w:val="0"/>
        <w:keepLines w:val="0"/>
        <w:pageBreakBefore w:val="0"/>
        <w:kinsoku/>
        <w:wordWrap/>
        <w:overflowPunct/>
        <w:topLinePunct w:val="0"/>
        <w:bidi w:val="0"/>
        <w:adjustRightInd/>
        <w:snapToGrid/>
        <w:spacing w:beforeAutospacing="0" w:afterAutospacing="0" w:line="440" w:lineRule="exact"/>
        <w:ind w:firstLine="562" w:firstLineChars="200"/>
        <w:jc w:val="center"/>
        <w:textAlignment w:val="auto"/>
        <w:rPr>
          <w:rFonts w:hint="eastAsia" w:asciiTheme="minorEastAsia" w:hAnsiTheme="minorEastAsia" w:cstheme="minorEastAsia"/>
          <w:b/>
          <w:bCs/>
          <w:sz w:val="28"/>
          <w:szCs w:val="28"/>
          <w:lang w:val="en-US" w:eastAsia="zh-CN"/>
        </w:rPr>
      </w:pPr>
    </w:p>
    <w:p w14:paraId="4CEF46DE">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591DF962">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76D1BD50">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anchor distT="0" distB="0" distL="114300" distR="114300" simplePos="0" relativeHeight="251659264" behindDoc="0" locked="0" layoutInCell="1" allowOverlap="1">
            <wp:simplePos x="0" y="0"/>
            <wp:positionH relativeFrom="column">
              <wp:posOffset>95250</wp:posOffset>
            </wp:positionH>
            <wp:positionV relativeFrom="paragraph">
              <wp:posOffset>361950</wp:posOffset>
            </wp:positionV>
            <wp:extent cx="4775835" cy="2548255"/>
            <wp:effectExtent l="0" t="0" r="5715" b="4445"/>
            <wp:wrapSquare wrapText="bothSides"/>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0154D868">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pPr>
    </w:p>
    <w:p w14:paraId="1C306401">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33440FAC">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137D078F">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04F06D4D">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01E1CAB5">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23380768">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2D24DDD0">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inline distT="0" distB="0" distL="114300" distR="114300">
            <wp:extent cx="4590415" cy="2001520"/>
            <wp:effectExtent l="0" t="0" r="635" b="17780"/>
            <wp:docPr id="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141EBD2">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图</w:t>
      </w:r>
      <w:r>
        <w:rPr>
          <w:rFonts w:hint="eastAsia" w:asciiTheme="minorEastAsia" w:hAnsiTheme="minorEastAsia" w:cstheme="minorEastAsia"/>
          <w:b/>
          <w:bCs/>
          <w:sz w:val="28"/>
          <w:szCs w:val="28"/>
          <w:lang w:val="en-US" w:eastAsia="zh-CN"/>
        </w:rPr>
        <w:t>3</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小米维生素</w:t>
      </w:r>
      <w:r>
        <w:rPr>
          <w:rFonts w:hint="eastAsia" w:asciiTheme="minorEastAsia" w:hAnsiTheme="minorEastAsia" w:eastAsiaTheme="minorEastAsia" w:cstheme="minorEastAsia"/>
          <w:b/>
          <w:bCs/>
          <w:sz w:val="28"/>
          <w:szCs w:val="28"/>
          <w:lang w:val="en-US" w:eastAsia="zh-CN"/>
        </w:rPr>
        <w:t>含量</w:t>
      </w:r>
    </w:p>
    <w:p w14:paraId="71E817E8">
      <w:pPr>
        <w:keepNext w:val="0"/>
        <w:keepLines w:val="0"/>
        <w:pageBreakBefore w:val="0"/>
        <w:kinsoku/>
        <w:wordWrap/>
        <w:overflowPunct/>
        <w:topLinePunct w:val="0"/>
        <w:bidi w:val="0"/>
        <w:adjustRightInd/>
        <w:snapToGrid/>
        <w:spacing w:beforeAutospacing="0" w:afterAutospacing="0" w:line="44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7790AB3F">
      <w:pPr>
        <w:keepNext w:val="0"/>
        <w:keepLines w:val="0"/>
        <w:pageBreakBefore w:val="0"/>
        <w:kinsoku/>
        <w:wordWrap/>
        <w:overflowPunct/>
        <w:topLinePunct w:val="0"/>
        <w:bidi w:val="0"/>
        <w:adjustRightInd/>
        <w:snapToGrid/>
        <w:spacing w:beforeAutospacing="0" w:afterAutospacing="0"/>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 xml:space="preserve">图4显示水河小米、准格尔旗小米和赤峰小米的不饱和脂肪酸/饱和脂肪酸比值分别为8.48、6.89、6.30，显著＞2时，降血脂作用强。油酸和亚油酸含量最高的是准格尔旗小米， </w:t>
      </w:r>
      <w:r>
        <w:rPr>
          <w:rFonts w:hint="eastAsia" w:ascii="仿宋" w:hAnsi="仿宋" w:eastAsia="仿宋" w:cs="仿宋"/>
          <w:kern w:val="0"/>
          <w:sz w:val="28"/>
          <w:szCs w:val="28"/>
          <w:lang w:val="en-US" w:eastAsia="zh-CN" w:bidi="ar-SA"/>
        </w:rPr>
        <w:t>γ</w:t>
      </w:r>
      <w:r>
        <w:rPr>
          <w:rFonts w:hint="eastAsia" w:ascii="仿宋" w:hAnsi="仿宋" w:eastAsia="仿宋" w:cs="Times New Roman"/>
          <w:kern w:val="0"/>
          <w:sz w:val="28"/>
          <w:szCs w:val="28"/>
          <w:lang w:val="en-US" w:eastAsia="zh-CN" w:bidi="ar-SA"/>
        </w:rPr>
        <w:t>-亚油酸和亚麻酸含量最高的是赤峰小米，不饱和脂肪酸的总量最高的是准格尔旗小米。</w:t>
      </w:r>
    </w:p>
    <w:p w14:paraId="2FA24D43">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4EAE2F55">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inline distT="0" distB="0" distL="114300" distR="114300">
            <wp:extent cx="4392930" cy="2451100"/>
            <wp:effectExtent l="0" t="0" r="7620" b="6350"/>
            <wp:docPr id="19"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0ACC47">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8"/>
          <w:szCs w:val="28"/>
          <w:lang w:val="en-US" w:eastAsia="zh-CN"/>
        </w:rPr>
        <w:t>图</w:t>
      </w:r>
      <w:r>
        <w:rPr>
          <w:rFonts w:hint="eastAsia" w:asciiTheme="minorEastAsia" w:hAnsiTheme="minorEastAsia" w:cstheme="minorEastAsia"/>
          <w:b/>
          <w:bCs/>
          <w:sz w:val="28"/>
          <w:szCs w:val="28"/>
          <w:lang w:val="en-US" w:eastAsia="zh-CN"/>
        </w:rPr>
        <w:t>4</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小米脂肪酸</w:t>
      </w:r>
      <w:r>
        <w:rPr>
          <w:rFonts w:hint="eastAsia" w:asciiTheme="minorEastAsia" w:hAnsiTheme="minorEastAsia" w:eastAsiaTheme="minorEastAsia" w:cstheme="minorEastAsia"/>
          <w:b/>
          <w:bCs/>
          <w:sz w:val="28"/>
          <w:szCs w:val="28"/>
          <w:lang w:val="en-US" w:eastAsia="zh-CN"/>
        </w:rPr>
        <w:t>含量</w:t>
      </w:r>
    </w:p>
    <w:p w14:paraId="3F3C208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5显示蒸煮米粥共检测出可定性的72种挥发性物质。清水河小米挥发性风味物质显著高于其他地区小米样品，包括2-庚酮、2-正丁基呋喃、2-甲基-3-戊酮、2-甲基丙基丁酸酯、1，2-二甲氧基乙烷、乙酸乙酯、1-甲基-4-异丙烯基-1-环己烯、2-丁酮、1-戊醇、1，3-二甲基-2，4-二氧戊环、3-壬烯-1-醇、3-羟基丁酸乙酯、己醛、2-甲基丁醛、3-甲基丁酸乙酯、2-己酮、1-甲基-2-丁醇等。</w:t>
      </w:r>
    </w:p>
    <w:p w14:paraId="084274C1">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anchor distT="0" distB="0" distL="114300" distR="114300" simplePos="0" relativeHeight="251660288" behindDoc="0" locked="0" layoutInCell="1" allowOverlap="1">
            <wp:simplePos x="0" y="0"/>
            <wp:positionH relativeFrom="column">
              <wp:posOffset>276225</wp:posOffset>
            </wp:positionH>
            <wp:positionV relativeFrom="paragraph">
              <wp:posOffset>228600</wp:posOffset>
            </wp:positionV>
            <wp:extent cx="4345940" cy="2373630"/>
            <wp:effectExtent l="0" t="0" r="16510" b="762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extLst>
                        <a:ext uri="{28A0092B-C50C-407E-A947-70E740481C1C}">
                          <a14:useLocalDpi xmlns:a14="http://schemas.microsoft.com/office/drawing/2010/main" val="0"/>
                        </a:ext>
                      </a:extLst>
                    </a:blip>
                    <a:srcRect r="6130"/>
                    <a:stretch>
                      <a:fillRect/>
                    </a:stretch>
                  </pic:blipFill>
                  <pic:spPr>
                    <a:xfrm>
                      <a:off x="0" y="0"/>
                      <a:ext cx="4345940" cy="2373630"/>
                    </a:xfrm>
                    <a:prstGeom prst="rect">
                      <a:avLst/>
                    </a:prstGeom>
                    <a:ln>
                      <a:noFill/>
                    </a:ln>
                  </pic:spPr>
                </pic:pic>
              </a:graphicData>
            </a:graphic>
          </wp:anchor>
        </w:drawing>
      </w:r>
    </w:p>
    <w:p w14:paraId="60E15919">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63860FDE">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3AE75BA9">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56298A17">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6C5FAFC3">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2BCCD9AA">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4F262568">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8"/>
          <w:szCs w:val="28"/>
          <w:lang w:val="en-US" w:eastAsia="zh-CN"/>
        </w:rPr>
        <w:t>图</w:t>
      </w:r>
      <w:r>
        <w:rPr>
          <w:rFonts w:hint="eastAsia" w:asciiTheme="minorEastAsia" w:hAnsiTheme="minorEastAsia" w:cstheme="minorEastAsia"/>
          <w:b/>
          <w:bCs/>
          <w:sz w:val="28"/>
          <w:szCs w:val="28"/>
          <w:lang w:val="en-US" w:eastAsia="zh-CN"/>
        </w:rPr>
        <w:t>5</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小米粥挥发性物质</w:t>
      </w:r>
      <w:r>
        <w:rPr>
          <w:rFonts w:hint="eastAsia" w:asciiTheme="minorEastAsia" w:hAnsiTheme="minorEastAsia" w:eastAsiaTheme="minorEastAsia" w:cstheme="minorEastAsia"/>
          <w:b/>
          <w:bCs/>
          <w:sz w:val="28"/>
          <w:szCs w:val="28"/>
          <w:lang w:val="en-US" w:eastAsia="zh-CN"/>
        </w:rPr>
        <w:t>含量</w:t>
      </w:r>
    </w:p>
    <w:p w14:paraId="5F54ED7C">
      <w:pPr>
        <w:keepNext w:val="0"/>
        <w:keepLines w:val="0"/>
        <w:pageBreakBefore w:val="0"/>
        <w:kinsoku/>
        <w:wordWrap/>
        <w:overflowPunct/>
        <w:topLinePunct w:val="0"/>
        <w:bidi w:val="0"/>
        <w:adjustRightInd/>
        <w:snapToGrid/>
        <w:spacing w:beforeAutospacing="0" w:afterAutospacing="0"/>
        <w:jc w:val="left"/>
        <w:textAlignment w:val="auto"/>
        <w:rPr>
          <w:rFonts w:hint="eastAsia" w:ascii="仿宋" w:hAnsi="仿宋" w:eastAsia="仿宋" w:cs="Times New Roman"/>
          <w:kern w:val="0"/>
          <w:sz w:val="28"/>
          <w:szCs w:val="28"/>
          <w:lang w:val="en-US" w:eastAsia="zh-CN" w:bidi="ar-SA"/>
        </w:rPr>
      </w:pPr>
    </w:p>
    <w:p w14:paraId="06CD4E2C">
      <w:pPr>
        <w:pStyle w:val="11"/>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因此，基于文献调研、品质评价成果总结和采样验证，最终确定小米评价指标包括但不限于淀粉，直链淀粉，氨基酸总量，脂肪酸含量（包含饱和脂肪酸、不饱和脂肪酸总量）、维生素B1、维生素E、矿质元素、胶稠度等。米粥样品评价指标包括但不限于挥发性风味物质等。</w:t>
      </w:r>
    </w:p>
    <w:p w14:paraId="48289654">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2.5评价指标检测标准的确定</w:t>
      </w:r>
    </w:p>
    <w:p w14:paraId="2E0D49B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评价指标检测标准的确定以国家标准、行业标准优先为原则，对于没有现行检测标准的挥发性风味物质的检测，以附录形式确定。指标检测标准如下。</w:t>
      </w:r>
    </w:p>
    <w:p w14:paraId="2369D826">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textAlignment w:val="auto"/>
      </w:pPr>
      <w:r>
        <w:rPr>
          <w:rFonts w:hint="eastAsia" w:ascii="仿宋" w:hAnsi="仿宋" w:eastAsia="仿宋" w:cs="Times New Roman"/>
          <w:kern w:val="0"/>
          <w:sz w:val="28"/>
          <w:szCs w:val="28"/>
          <w:lang w:val="en-US" w:eastAsia="zh-CN" w:bidi="ar-SA"/>
        </w:rPr>
        <w:t>小米样品：</w:t>
      </w:r>
    </w:p>
    <w:p w14:paraId="6F892E23">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default" w:ascii="仿宋" w:hAnsi="仿宋" w:eastAsia="仿宋" w:cs="Times New Roman"/>
          <w:kern w:val="0"/>
          <w:sz w:val="28"/>
          <w:szCs w:val="28"/>
          <w:lang w:val="en-US" w:eastAsia="zh-CN" w:bidi="ar-SA"/>
        </w:rPr>
        <w:t>淀粉，</w:t>
      </w:r>
      <w:r>
        <w:rPr>
          <w:rFonts w:hint="eastAsia" w:ascii="仿宋" w:hAnsi="仿宋" w:eastAsia="仿宋" w:cs="Times New Roman"/>
          <w:kern w:val="0"/>
          <w:sz w:val="28"/>
          <w:szCs w:val="28"/>
          <w:lang w:val="en-US" w:eastAsia="zh-CN" w:bidi="ar-SA"/>
        </w:rPr>
        <w:t>按GB/T</w:t>
      </w:r>
      <w:r>
        <w:rPr>
          <w:rFonts w:hint="default" w:ascii="仿宋" w:hAnsi="仿宋" w:eastAsia="仿宋" w:cs="Times New Roman"/>
          <w:kern w:val="0"/>
          <w:sz w:val="28"/>
          <w:szCs w:val="28"/>
          <w:lang w:val="en-US" w:eastAsia="zh-CN" w:bidi="ar-SA"/>
        </w:rPr>
        <w:t xml:space="preserve"> 5009.9</w:t>
      </w:r>
      <w:r>
        <w:rPr>
          <w:rFonts w:hint="eastAsia" w:ascii="仿宋" w:hAnsi="仿宋" w:eastAsia="仿宋" w:cs="Times New Roman"/>
          <w:kern w:val="0"/>
          <w:sz w:val="28"/>
          <w:szCs w:val="28"/>
          <w:lang w:val="en-US" w:eastAsia="zh-CN" w:bidi="ar-SA"/>
        </w:rPr>
        <w:t>规定的方法执行</w:t>
      </w:r>
      <w:r>
        <w:rPr>
          <w:rFonts w:hint="default" w:ascii="仿宋" w:hAnsi="仿宋" w:eastAsia="仿宋" w:cs="Times New Roman"/>
          <w:kern w:val="0"/>
          <w:sz w:val="28"/>
          <w:szCs w:val="28"/>
          <w:lang w:val="en-US" w:eastAsia="zh-CN" w:bidi="ar-SA"/>
        </w:rPr>
        <w:t>。</w:t>
      </w:r>
    </w:p>
    <w:p w14:paraId="1FB17D97">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直链淀粉，按GB 7648规定的方法执行</w:t>
      </w:r>
      <w:r>
        <w:rPr>
          <w:rFonts w:hint="default" w:ascii="仿宋" w:hAnsi="仿宋" w:eastAsia="仿宋" w:cs="Times New Roman"/>
          <w:kern w:val="0"/>
          <w:sz w:val="28"/>
          <w:szCs w:val="28"/>
          <w:lang w:val="en-US" w:eastAsia="zh-CN" w:bidi="ar-SA"/>
        </w:rPr>
        <w:t>。</w:t>
      </w:r>
    </w:p>
    <w:p w14:paraId="642CDB20">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氨基酸总量，检测18种氨基酸，按GB 5009.124 规定的方法执行，计算甜味氨基酸、鲜味氨基酸等呈味氨基酸总量。</w:t>
      </w:r>
    </w:p>
    <w:p w14:paraId="6B4821A2">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脂肪，按GB 5009.6规定的方法执行。</w:t>
      </w:r>
    </w:p>
    <w:p w14:paraId="0925624D">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脂肪酸含量，按GB 5009.168 规定的方法执行，分别计算饱和脂肪酸、不饱和脂肪酸总量及比值。</w:t>
      </w:r>
    </w:p>
    <w:p w14:paraId="786D139E">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维生素B</w:t>
      </w:r>
      <w:r>
        <w:rPr>
          <w:rFonts w:hint="eastAsia" w:ascii="仿宋" w:hAnsi="仿宋" w:eastAsia="仿宋" w:cs="Times New Roman"/>
          <w:kern w:val="0"/>
          <w:sz w:val="28"/>
          <w:szCs w:val="28"/>
          <w:vertAlign w:val="subscript"/>
          <w:lang w:val="en-US" w:eastAsia="zh-CN" w:bidi="ar-SA"/>
        </w:rPr>
        <w:t>1</w:t>
      </w:r>
      <w:r>
        <w:rPr>
          <w:rFonts w:hint="eastAsia" w:ascii="仿宋" w:hAnsi="仿宋" w:eastAsia="仿宋" w:cs="Times New Roman"/>
          <w:kern w:val="0"/>
          <w:sz w:val="28"/>
          <w:szCs w:val="28"/>
          <w:lang w:val="en-US" w:eastAsia="zh-CN" w:bidi="ar-SA"/>
        </w:rPr>
        <w:t>，按GB 5009.84规定的方法执行。</w:t>
      </w:r>
    </w:p>
    <w:p w14:paraId="7FBA3F89">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维生素E，GB 5009.82规定的方法执行。</w:t>
      </w:r>
    </w:p>
    <w:p w14:paraId="5F62C266">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矿质元素，至少检测钙、钠、锌、镁、铁、钾、硒，按GB 5009.268 规定的方法执行。</w:t>
      </w:r>
    </w:p>
    <w:p w14:paraId="64CAE6F8">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胶稠度，按GB/T 1298的附录A规定的方法执行。</w:t>
      </w:r>
    </w:p>
    <w:p w14:paraId="1E52CB08">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米粥样品评价指标检测方法</w:t>
      </w:r>
    </w:p>
    <w:p w14:paraId="655B4FD8">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挥发性风味物质，参照本文件附录制备米粥样品、并检测，结果以挥发物质总量表示。</w:t>
      </w:r>
    </w:p>
    <w:p w14:paraId="6E1CD374">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2.6评价方法的确定</w:t>
      </w:r>
    </w:p>
    <w:p w14:paraId="52A82FD4">
      <w:pPr>
        <w:pStyle w:val="11"/>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为了保证评价结果的关联性、类比性和持续性。依据</w:t>
      </w:r>
      <w:r>
        <w:rPr>
          <w:rFonts w:hint="eastAsia" w:ascii="仿宋" w:hAnsi="仿宋" w:eastAsia="仿宋"/>
          <w:sz w:val="28"/>
          <w:szCs w:val="28"/>
          <w:lang w:val="en-US" w:eastAsia="zh-CN"/>
        </w:rPr>
        <w:t>《内蒙古小米品质评鉴总结报告》（2020年至2023年），总结了主要评价方法，对于单项指标，采用《中国食物成分表》（标准版第6版）、《中国食物营养成分表》（2019版）或同类产品标准的参考值进行比较，单项指标结论可参考采用大于、小于、低于、优于或者进行功能性描述。根据单项指标结论，提出优于同类产品的特征指标。对于综合指标，</w:t>
      </w:r>
      <w:r>
        <w:rPr>
          <w:rFonts w:hint="eastAsia" w:ascii="仿宋" w:hAnsi="仿宋" w:eastAsia="仿宋" w:cs="Times New Roman"/>
          <w:kern w:val="0"/>
          <w:sz w:val="28"/>
          <w:szCs w:val="28"/>
          <w:lang w:val="en-US" w:eastAsia="zh-CN" w:bidi="ar-SA"/>
        </w:rPr>
        <w:t>有产品分级标准的指标：应根</w:t>
      </w:r>
      <w:r>
        <w:rPr>
          <w:rFonts w:hint="eastAsia" w:ascii="仿宋" w:hAnsi="仿宋" w:eastAsia="仿宋"/>
          <w:sz w:val="28"/>
          <w:szCs w:val="28"/>
          <w:lang w:val="en-US" w:eastAsia="zh-CN"/>
        </w:rPr>
        <w:t>据应根据GB/T 11766、NY/T 893、DB15/T 1737等分级标准等分级标准，综合评价产品等级，评价结论以等级表示。具体</w:t>
      </w:r>
      <w:r>
        <w:rPr>
          <w:rFonts w:hint="eastAsia" w:ascii="仿宋" w:hAnsi="仿宋" w:eastAsia="仿宋" w:cs="Times New Roman"/>
          <w:kern w:val="0"/>
          <w:sz w:val="28"/>
          <w:szCs w:val="28"/>
          <w:lang w:val="en-US" w:eastAsia="zh-CN" w:bidi="ar-SA"/>
        </w:rPr>
        <w:t>指标值如表4所述，评价结论以等级表示。无产品分级标准的指标：利用合理的统计分析方法，对各指标结果进行综合分析，提出明确评价意见，获得综合评价结论。</w:t>
      </w:r>
    </w:p>
    <w:p w14:paraId="0AB3753F">
      <w:pPr>
        <w:spacing w:before="156" w:beforeLines="50" w:after="156" w:afterLines="50"/>
        <w:jc w:val="center"/>
        <w:rPr>
          <w:rFonts w:hint="default"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表4  小米现有分级标准的参考值要求</w:t>
      </w:r>
    </w:p>
    <w:tbl>
      <w:tblPr>
        <w:tblStyle w:val="6"/>
        <w:tblW w:w="5775" w:type="pct"/>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56"/>
        <w:gridCol w:w="4296"/>
        <w:gridCol w:w="3291"/>
      </w:tblGrid>
      <w:tr w14:paraId="21FEDF7C">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1146" w:type="pct"/>
            <w:tcBorders>
              <w:left w:val="nil"/>
              <w:bottom w:val="single" w:color="000000" w:sz="4" w:space="0"/>
              <w:right w:val="nil"/>
            </w:tcBorders>
            <w:shd w:val="clear" w:color="auto" w:fill="auto"/>
            <w:vAlign w:val="center"/>
          </w:tcPr>
          <w:p w14:paraId="0D0F72A4">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项目（单位）</w:t>
            </w:r>
          </w:p>
        </w:tc>
        <w:tc>
          <w:tcPr>
            <w:tcW w:w="2182" w:type="pct"/>
            <w:tcBorders>
              <w:left w:val="nil"/>
              <w:bottom w:val="single" w:color="000000" w:sz="4" w:space="0"/>
              <w:right w:val="nil"/>
            </w:tcBorders>
            <w:shd w:val="clear" w:color="auto" w:fill="auto"/>
            <w:vAlign w:val="center"/>
          </w:tcPr>
          <w:p w14:paraId="0438C70E">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指标值要求</w:t>
            </w:r>
          </w:p>
        </w:tc>
        <w:tc>
          <w:tcPr>
            <w:tcW w:w="1671" w:type="pct"/>
            <w:tcBorders>
              <w:left w:val="nil"/>
              <w:bottom w:val="single" w:color="000000" w:sz="4" w:space="0"/>
              <w:right w:val="nil"/>
            </w:tcBorders>
            <w:shd w:val="clear" w:color="auto" w:fill="auto"/>
            <w:vAlign w:val="center"/>
          </w:tcPr>
          <w:p w14:paraId="4DD4744C">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来源</w:t>
            </w:r>
          </w:p>
        </w:tc>
      </w:tr>
      <w:tr w14:paraId="7FF54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tcBorders>
              <w:top w:val="nil"/>
              <w:left w:val="nil"/>
              <w:bottom w:val="nil"/>
              <w:right w:val="nil"/>
            </w:tcBorders>
            <w:shd w:val="clear" w:color="auto" w:fill="auto"/>
            <w:vAlign w:val="center"/>
          </w:tcPr>
          <w:p w14:paraId="1243EBF2">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脂肪（%）</w:t>
            </w:r>
          </w:p>
        </w:tc>
        <w:tc>
          <w:tcPr>
            <w:tcW w:w="2182" w:type="pct"/>
            <w:tcBorders>
              <w:top w:val="nil"/>
              <w:left w:val="nil"/>
              <w:bottom w:val="nil"/>
              <w:right w:val="nil"/>
            </w:tcBorders>
            <w:shd w:val="clear" w:color="auto" w:fill="auto"/>
            <w:vAlign w:val="center"/>
          </w:tcPr>
          <w:p w14:paraId="3DF50522">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2.0 </w:t>
            </w:r>
            <w:r>
              <w:rPr>
                <w:rFonts w:hint="eastAsia" w:ascii="宋体" w:hAnsi="宋体" w:cs="宋体"/>
                <w:sz w:val="21"/>
                <w:szCs w:val="21"/>
                <w:shd w:val="clear" w:color="auto" w:fill="FFFFFF"/>
              </w:rPr>
              <w:t>～</w:t>
            </w:r>
            <w:r>
              <w:rPr>
                <w:rFonts w:hint="eastAsia" w:ascii="宋体" w:hAnsi="宋体" w:eastAsia="宋体" w:cs="宋体"/>
                <w:sz w:val="21"/>
                <w:szCs w:val="21"/>
                <w:lang w:val="en-US" w:eastAsia="zh-CN"/>
              </w:rPr>
              <w:t xml:space="preserve"> 4.0</w:t>
            </w:r>
          </w:p>
        </w:tc>
        <w:tc>
          <w:tcPr>
            <w:tcW w:w="1671" w:type="pct"/>
            <w:tcBorders>
              <w:top w:val="nil"/>
              <w:left w:val="nil"/>
              <w:bottom w:val="nil"/>
              <w:right w:val="nil"/>
            </w:tcBorders>
            <w:shd w:val="clear" w:color="auto" w:fill="auto"/>
            <w:vAlign w:val="center"/>
          </w:tcPr>
          <w:p w14:paraId="64DC1979">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NY/T 893-2021 </w:t>
            </w:r>
          </w:p>
          <w:p w14:paraId="61090049">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理化指标》</w:t>
            </w:r>
          </w:p>
        </w:tc>
      </w:tr>
      <w:tr w14:paraId="2CAE0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tcBorders>
              <w:top w:val="nil"/>
              <w:left w:val="nil"/>
              <w:bottom w:val="nil"/>
              <w:right w:val="nil"/>
            </w:tcBorders>
            <w:shd w:val="clear" w:color="auto" w:fill="auto"/>
            <w:vAlign w:val="center"/>
          </w:tcPr>
          <w:p w14:paraId="400AC084">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淀粉（%）</w:t>
            </w:r>
          </w:p>
        </w:tc>
        <w:tc>
          <w:tcPr>
            <w:tcW w:w="2182" w:type="pct"/>
            <w:tcBorders>
              <w:top w:val="nil"/>
              <w:left w:val="nil"/>
              <w:bottom w:val="nil"/>
              <w:right w:val="nil"/>
            </w:tcBorders>
            <w:shd w:val="clear" w:color="auto" w:fill="auto"/>
            <w:vAlign w:val="center"/>
          </w:tcPr>
          <w:p w14:paraId="2638FC88">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w:t>
            </w:r>
            <w:r>
              <w:rPr>
                <w:rFonts w:hint="eastAsia" w:ascii="宋体" w:hAnsi="宋体" w:eastAsia="宋体" w:cs="宋体"/>
                <w:sz w:val="21"/>
                <w:szCs w:val="21"/>
                <w:lang w:val="en-US" w:eastAsia="zh-CN"/>
              </w:rPr>
              <w:t>75.0</w:t>
            </w:r>
          </w:p>
        </w:tc>
        <w:tc>
          <w:tcPr>
            <w:tcW w:w="1671" w:type="pct"/>
            <w:tcBorders>
              <w:top w:val="nil"/>
              <w:left w:val="nil"/>
              <w:bottom w:val="nil"/>
              <w:right w:val="nil"/>
            </w:tcBorders>
            <w:shd w:val="clear" w:color="auto" w:fill="auto"/>
            <w:vAlign w:val="center"/>
          </w:tcPr>
          <w:p w14:paraId="570AF20C">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DB 15/T 965-2016</w:t>
            </w:r>
          </w:p>
          <w:p w14:paraId="7765659A">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《表2 营养指标》</w:t>
            </w:r>
          </w:p>
        </w:tc>
      </w:tr>
      <w:tr w14:paraId="05BDF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1146" w:type="pct"/>
            <w:tcBorders>
              <w:top w:val="nil"/>
              <w:left w:val="nil"/>
              <w:bottom w:val="nil"/>
              <w:right w:val="nil"/>
            </w:tcBorders>
            <w:shd w:val="clear" w:color="auto" w:fill="auto"/>
            <w:vAlign w:val="center"/>
          </w:tcPr>
          <w:p w14:paraId="054AB28A">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直链淀粉（%）</w:t>
            </w:r>
          </w:p>
        </w:tc>
        <w:tc>
          <w:tcPr>
            <w:tcW w:w="2182" w:type="pct"/>
            <w:tcBorders>
              <w:top w:val="nil"/>
              <w:left w:val="nil"/>
              <w:bottom w:val="nil"/>
              <w:right w:val="nil"/>
            </w:tcBorders>
            <w:shd w:val="clear" w:color="auto" w:fill="auto"/>
            <w:vAlign w:val="center"/>
          </w:tcPr>
          <w:p w14:paraId="71386497">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14 </w:t>
            </w:r>
            <w:r>
              <w:rPr>
                <w:rFonts w:hint="eastAsia" w:ascii="宋体" w:hAnsi="宋体" w:cs="宋体"/>
                <w:sz w:val="21"/>
                <w:szCs w:val="21"/>
                <w:shd w:val="clear" w:color="auto" w:fill="FFFFFF"/>
              </w:rPr>
              <w:t>～</w:t>
            </w:r>
            <w:r>
              <w:rPr>
                <w:rFonts w:hint="eastAsia" w:ascii="宋体" w:hAnsi="宋体" w:eastAsia="宋体" w:cs="宋体"/>
                <w:sz w:val="21"/>
                <w:szCs w:val="21"/>
                <w:lang w:val="en-US" w:eastAsia="zh-CN"/>
              </w:rPr>
              <w:t xml:space="preserve"> 20</w:t>
            </w:r>
          </w:p>
        </w:tc>
        <w:tc>
          <w:tcPr>
            <w:tcW w:w="1671" w:type="pct"/>
            <w:tcBorders>
              <w:top w:val="nil"/>
              <w:left w:val="nil"/>
              <w:bottom w:val="nil"/>
              <w:right w:val="nil"/>
            </w:tcBorders>
            <w:shd w:val="clear" w:color="auto" w:fill="auto"/>
            <w:vAlign w:val="top"/>
          </w:tcPr>
          <w:p w14:paraId="0BB4A80B">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GB/T 19503-2008</w:t>
            </w:r>
          </w:p>
          <w:p w14:paraId="5F6BA3CD">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《表2 蒸煮和营养指标》</w:t>
            </w:r>
          </w:p>
        </w:tc>
      </w:tr>
      <w:tr w14:paraId="7D041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atLeast"/>
          <w:jc w:val="center"/>
        </w:trPr>
        <w:tc>
          <w:tcPr>
            <w:tcW w:w="1146" w:type="pct"/>
            <w:tcBorders>
              <w:top w:val="nil"/>
              <w:left w:val="nil"/>
              <w:bottom w:val="nil"/>
              <w:right w:val="nil"/>
            </w:tcBorders>
            <w:shd w:val="clear" w:color="auto" w:fill="auto"/>
            <w:vAlign w:val="center"/>
          </w:tcPr>
          <w:p w14:paraId="2590B82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维生素E（mg/100g）</w:t>
            </w:r>
          </w:p>
        </w:tc>
        <w:tc>
          <w:tcPr>
            <w:tcW w:w="2182" w:type="pct"/>
            <w:tcBorders>
              <w:top w:val="nil"/>
              <w:left w:val="nil"/>
              <w:bottom w:val="nil"/>
              <w:right w:val="nil"/>
            </w:tcBorders>
            <w:shd w:val="clear" w:color="auto" w:fill="auto"/>
            <w:vAlign w:val="center"/>
          </w:tcPr>
          <w:p w14:paraId="10D4CC26">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 xml:space="preserve">≧ </w:t>
            </w:r>
            <w:r>
              <w:rPr>
                <w:rFonts w:hint="eastAsia" w:ascii="宋体" w:hAnsi="宋体" w:eastAsia="宋体" w:cs="宋体"/>
                <w:sz w:val="21"/>
                <w:szCs w:val="21"/>
                <w:lang w:val="en-US" w:eastAsia="zh-CN"/>
              </w:rPr>
              <w:t>0.7</w:t>
            </w:r>
          </w:p>
        </w:tc>
        <w:tc>
          <w:tcPr>
            <w:tcW w:w="1671" w:type="pct"/>
            <w:tcBorders>
              <w:top w:val="nil"/>
              <w:left w:val="nil"/>
              <w:bottom w:val="nil"/>
              <w:right w:val="nil"/>
            </w:tcBorders>
            <w:shd w:val="clear" w:color="auto" w:fill="auto"/>
            <w:vAlign w:val="center"/>
          </w:tcPr>
          <w:p w14:paraId="400EE1EC">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DB 15/T 1737-2019</w:t>
            </w:r>
          </w:p>
          <w:p w14:paraId="0D39C71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营养指标》</w:t>
            </w:r>
          </w:p>
        </w:tc>
      </w:tr>
      <w:tr w14:paraId="0F290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atLeast"/>
          <w:jc w:val="center"/>
        </w:trPr>
        <w:tc>
          <w:tcPr>
            <w:tcW w:w="1146" w:type="pct"/>
            <w:tcBorders>
              <w:top w:val="nil"/>
              <w:left w:val="nil"/>
              <w:bottom w:val="nil"/>
              <w:right w:val="nil"/>
            </w:tcBorders>
            <w:vAlign w:val="center"/>
          </w:tcPr>
          <w:p w14:paraId="16BA5F30">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维生素B</w:t>
            </w:r>
            <w:r>
              <w:rPr>
                <w:rFonts w:hint="eastAsia" w:ascii="宋体" w:hAnsi="宋体" w:eastAsia="宋体" w:cs="宋体"/>
                <w:sz w:val="21"/>
                <w:szCs w:val="21"/>
                <w:vertAlign w:val="subscript"/>
                <w:lang w:val="en-US" w:eastAsia="zh-CN"/>
              </w:rPr>
              <w:t>1</w:t>
            </w:r>
            <w:r>
              <w:rPr>
                <w:rFonts w:hint="eastAsia" w:ascii="宋体" w:hAnsi="宋体" w:eastAsia="宋体" w:cs="宋体"/>
                <w:sz w:val="21"/>
                <w:szCs w:val="21"/>
                <w:lang w:val="en-US" w:eastAsia="zh-CN"/>
              </w:rPr>
              <w:t>（mg/100g）</w:t>
            </w:r>
          </w:p>
        </w:tc>
        <w:tc>
          <w:tcPr>
            <w:tcW w:w="2182" w:type="pct"/>
            <w:tcBorders>
              <w:top w:val="nil"/>
              <w:left w:val="nil"/>
              <w:bottom w:val="nil"/>
              <w:right w:val="nil"/>
            </w:tcBorders>
            <w:vAlign w:val="center"/>
          </w:tcPr>
          <w:p w14:paraId="10CF2C1E">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 xml:space="preserve">≧ </w:t>
            </w:r>
            <w:r>
              <w:rPr>
                <w:rFonts w:hint="eastAsia" w:ascii="宋体" w:hAnsi="宋体" w:eastAsia="宋体" w:cs="宋体"/>
                <w:sz w:val="21"/>
                <w:szCs w:val="21"/>
                <w:lang w:val="en-US" w:eastAsia="zh-CN"/>
              </w:rPr>
              <w:t>0.3</w:t>
            </w:r>
          </w:p>
        </w:tc>
        <w:tc>
          <w:tcPr>
            <w:tcW w:w="1671" w:type="pct"/>
            <w:tcBorders>
              <w:top w:val="nil"/>
              <w:left w:val="nil"/>
              <w:bottom w:val="nil"/>
              <w:right w:val="nil"/>
            </w:tcBorders>
          </w:tcPr>
          <w:p w14:paraId="0FC40EC8">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DB 15/T 1737-2019</w:t>
            </w:r>
          </w:p>
          <w:p w14:paraId="7FB3012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《表3 营养指标》</w:t>
            </w:r>
          </w:p>
        </w:tc>
      </w:tr>
      <w:tr w14:paraId="2CE6E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atLeast"/>
          <w:jc w:val="center"/>
        </w:trPr>
        <w:tc>
          <w:tcPr>
            <w:tcW w:w="1146" w:type="pct"/>
            <w:tcBorders>
              <w:top w:val="nil"/>
              <w:left w:val="nil"/>
              <w:right w:val="nil"/>
            </w:tcBorders>
            <w:vAlign w:val="center"/>
          </w:tcPr>
          <w:p w14:paraId="7CBFB3D4">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胶稠度（mm）</w:t>
            </w:r>
          </w:p>
        </w:tc>
        <w:tc>
          <w:tcPr>
            <w:tcW w:w="2182" w:type="pct"/>
            <w:tcBorders>
              <w:top w:val="nil"/>
              <w:left w:val="nil"/>
              <w:right w:val="nil"/>
            </w:tcBorders>
            <w:vAlign w:val="center"/>
          </w:tcPr>
          <w:p w14:paraId="5275F3F7">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1671" w:type="pct"/>
            <w:tcBorders>
              <w:top w:val="nil"/>
              <w:left w:val="nil"/>
              <w:right w:val="nil"/>
            </w:tcBorders>
          </w:tcPr>
          <w:p w14:paraId="48F0AD3B">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GB/T 19503-2008</w:t>
            </w:r>
          </w:p>
          <w:p w14:paraId="693B82C4">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《表2 蒸煮和营养指标》</w:t>
            </w:r>
          </w:p>
        </w:tc>
      </w:tr>
    </w:tbl>
    <w:p w14:paraId="2F30C403">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sz w:val="28"/>
          <w:szCs w:val="28"/>
          <w:lang w:val="en-US" w:eastAsia="zh-CN"/>
        </w:rPr>
      </w:pPr>
      <w:r>
        <w:rPr>
          <w:rFonts w:hint="eastAsia" w:ascii="仿宋" w:hAnsi="仿宋" w:eastAsia="仿宋" w:cs="Times New Roman"/>
          <w:b/>
          <w:bCs/>
          <w:kern w:val="0"/>
          <w:sz w:val="28"/>
          <w:szCs w:val="28"/>
          <w:lang w:val="en-US" w:eastAsia="zh-CN" w:bidi="ar-SA"/>
        </w:rPr>
        <w:t>2.7质量控制的要求</w:t>
      </w:r>
    </w:p>
    <w:p w14:paraId="3B130A0A">
      <w:pPr>
        <w:pStyle w:val="15"/>
        <w:numPr>
          <w:ilvl w:val="1"/>
          <w:numId w:val="0"/>
        </w:numPr>
        <w:ind w:leftChars="0" w:firstLine="560" w:firstLineChars="200"/>
        <w:rPr>
          <w:rFonts w:hint="eastAsia" w:ascii="仿宋" w:hAnsi="仿宋" w:eastAsia="仿宋" w:cs="Times New Roman"/>
          <w:kern w:val="0"/>
          <w:sz w:val="28"/>
          <w:szCs w:val="28"/>
          <w:lang w:val="en-US" w:eastAsia="zh-CN" w:bidi="ar-SA"/>
        </w:rPr>
      </w:pPr>
      <w:r>
        <w:rPr>
          <w:rFonts w:hint="eastAsia" w:ascii="仿宋" w:hAnsi="仿宋" w:eastAsia="仿宋"/>
          <w:sz w:val="28"/>
          <w:szCs w:val="28"/>
          <w:lang w:val="en-US" w:eastAsia="zh-CN"/>
        </w:rPr>
        <w:t>为了保证小米品质评价结果的有效性，本标准从</w:t>
      </w:r>
      <w:r>
        <w:rPr>
          <w:rFonts w:hint="eastAsia" w:ascii="仿宋" w:hAnsi="仿宋" w:eastAsia="仿宋" w:cs="Times New Roman"/>
          <w:kern w:val="0"/>
          <w:sz w:val="28"/>
          <w:szCs w:val="28"/>
          <w:lang w:val="en-US" w:eastAsia="zh-CN" w:bidi="ar-SA"/>
        </w:rPr>
        <w:t>样品管理、检测过程、数据结果统计分析等方面提出了质量控制要求。在样品管理上规定了样品接收、制备、保存、流转、复检和处置要有专人管理、都要有相应记录。在检测过程上要求一是检测过程应纳入实验室管理体系运行中，二是检测结果应符合相应检测方法中检出限/定量限、正确度和精密度要求，三是应通过标准物质/标准样品、质控样品、加标回收、人员比对等内部质量控制方式保证结果有效性，四是分析质量控制的结果数据，若发现数据分析结果超出预定的准则时，应启动预防纠正措施，实施改进。在数据结果统计分析上一是应根据实际情况或以往经验，按照GB/T 4883的规定，选定适宜的离群值检验规则，合理剔除离群值。二是单项指标评价的差异性分析采用方差分析、t检验、卡方检验等方法，具体按照GB/T 4889的规定进行。三是综合指标评价的多元性分析采用主成分分析、聚类分析</w:t>
      </w:r>
      <w:r>
        <w:rPr>
          <w:rFonts w:hint="default" w:ascii="仿宋" w:hAnsi="仿宋" w:eastAsia="仿宋" w:cs="Times New Roman"/>
          <w:kern w:val="0"/>
          <w:sz w:val="28"/>
          <w:szCs w:val="28"/>
          <w:lang w:val="en-US" w:eastAsia="zh-CN" w:bidi="ar-SA"/>
        </w:rPr>
        <w:t>、相关分析</w:t>
      </w:r>
      <w:r>
        <w:rPr>
          <w:rFonts w:hint="eastAsia" w:ascii="仿宋" w:hAnsi="仿宋" w:eastAsia="仿宋" w:cs="Times New Roman"/>
          <w:kern w:val="0"/>
          <w:sz w:val="28"/>
          <w:szCs w:val="28"/>
          <w:lang w:val="en-US" w:eastAsia="zh-CN" w:bidi="ar-SA"/>
        </w:rPr>
        <w:t>、灰色关联度等方法进行。</w:t>
      </w:r>
    </w:p>
    <w:p w14:paraId="655E2ADB">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2" w:firstLineChars="200"/>
        <w:textAlignment w:val="auto"/>
        <w:rPr>
          <w:rFonts w:hint="default"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2.8评价报告要求</w:t>
      </w:r>
    </w:p>
    <w:p w14:paraId="644D28B1">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0" w:firstLineChars="200"/>
        <w:textAlignment w:val="auto"/>
        <w:rPr>
          <w:rFonts w:hint="eastAsia" w:ascii="仿宋" w:hAnsi="仿宋" w:eastAsia="仿宋" w:cstheme="minorBidi"/>
          <w:kern w:val="2"/>
          <w:sz w:val="28"/>
          <w:szCs w:val="28"/>
          <w:lang w:val="en-US" w:eastAsia="zh-CN" w:bidi="ar-SA"/>
        </w:rPr>
      </w:pPr>
      <w:r>
        <w:rPr>
          <w:rFonts w:hint="eastAsia" w:ascii="仿宋" w:hAnsi="仿宋" w:eastAsia="仿宋"/>
          <w:sz w:val="28"/>
          <w:szCs w:val="28"/>
          <w:lang w:val="en-US" w:eastAsia="zh-CN"/>
        </w:rPr>
        <w:t>为了保证小米品质评价的报告的规范性，对结果报告也提出内容和结论的要求。内容上包括</w:t>
      </w:r>
      <w:r>
        <w:rPr>
          <w:rFonts w:hint="eastAsia" w:ascii="仿宋" w:hAnsi="仿宋" w:eastAsia="仿宋" w:cstheme="minorBidi"/>
          <w:kern w:val="2"/>
          <w:sz w:val="28"/>
          <w:szCs w:val="28"/>
          <w:lang w:val="en-US" w:eastAsia="zh-CN" w:bidi="ar-SA"/>
        </w:rPr>
        <w:t>应至少包括抽样和调研情况、检测指标及方法、评价方法及过程、品质评价结论等。结论上要求一是各指标含量情况，以各指标的通用单位计；二是与同类产品差异性比较情况；三是各指标与产地环境相关性情况；四是采用数据处理和统计分析后，提出优质指标，确定关键物质或特征成分。</w:t>
      </w:r>
    </w:p>
    <w:p w14:paraId="776C40E5">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0" w:firstLineChars="200"/>
        <w:textAlignment w:val="auto"/>
        <w:rPr>
          <w:rFonts w:hint="eastAsia"/>
          <w:lang w:val="en-US" w:eastAsia="zh-CN"/>
        </w:rPr>
      </w:pPr>
      <w:r>
        <w:rPr>
          <w:rFonts w:hint="eastAsia" w:ascii="仿宋" w:hAnsi="仿宋" w:eastAsia="仿宋" w:cstheme="minorBidi"/>
          <w:kern w:val="2"/>
          <w:sz w:val="28"/>
          <w:szCs w:val="28"/>
          <w:lang w:val="en-US" w:eastAsia="zh-CN" w:bidi="ar-SA"/>
        </w:rPr>
        <w:t>评价报告主要内容框架包括但不限于：抽样和调研情况、检测指标及方法、检测指标、检测方法、评价方法及过程、营养品质指标结果分析和评价、食味品质指标结果分析和评价、品质评价结论、指标含量范围、与同类产品差异性比较情况、各指标与产地环境相关性情况、提出优质指标、确定关键物质或特征成分等。</w:t>
      </w:r>
    </w:p>
    <w:p w14:paraId="71B309A8">
      <w:pPr>
        <w:keepNext w:val="0"/>
        <w:keepLines w:val="0"/>
        <w:pageBreakBefore w:val="0"/>
        <w:widowControl w:val="0"/>
        <w:numPr>
          <w:ilvl w:val="0"/>
          <w:numId w:val="5"/>
        </w:numPr>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是否为本领域市场新技术、新产品、新服务的标准化转化（说明产品特性、技术要求等内容）</w:t>
      </w:r>
    </w:p>
    <w:p w14:paraId="676B041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 w:hAnsi="仿宋" w:eastAsia="仿宋"/>
          <w:color w:val="000000" w:themeColor="text1"/>
          <w:sz w:val="28"/>
          <w:szCs w:val="28"/>
          <w:lang w:val="en-US" w:eastAsia="zh-CN"/>
          <w14:textFill>
            <w14:solidFill>
              <w14:schemeClr w14:val="tx1"/>
            </w14:solidFill>
          </w14:textFill>
        </w:rPr>
      </w:pPr>
      <w:r>
        <w:rPr>
          <w:rFonts w:hint="eastAsia" w:ascii="仿宋" w:hAnsi="仿宋" w:eastAsia="仿宋" w:cs="Times New Roman"/>
          <w:kern w:val="0"/>
          <w:sz w:val="28"/>
          <w:szCs w:val="28"/>
          <w:lang w:val="en-US" w:eastAsia="zh-CN" w:bidi="ar-SA"/>
        </w:rPr>
        <w:t>否。</w:t>
      </w:r>
    </w:p>
    <w:p w14:paraId="1DDFBCBF">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六、重大意见分歧的处理依据和结果</w:t>
      </w:r>
    </w:p>
    <w:p w14:paraId="173F63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sz w:val="28"/>
          <w:szCs w:val="28"/>
        </w:rPr>
      </w:pPr>
      <w:r>
        <w:rPr>
          <w:rFonts w:hint="eastAsia" w:ascii="仿宋" w:hAnsi="仿宋" w:eastAsia="仿宋"/>
          <w:sz w:val="28"/>
          <w:szCs w:val="28"/>
        </w:rPr>
        <w:t>本文件在编写过程中没有重大意见分歧。</w:t>
      </w:r>
    </w:p>
    <w:p w14:paraId="0F2E80A3">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七、</w:t>
      </w:r>
      <w:r>
        <w:rPr>
          <w:rFonts w:ascii="仿宋" w:hAnsi="仿宋" w:eastAsia="仿宋"/>
          <w:b/>
          <w:sz w:val="28"/>
          <w:szCs w:val="28"/>
        </w:rPr>
        <w:t>采用国际标准或国外先进标准的，说明采标程度，以及国内外同类标准水平的对比情况</w:t>
      </w:r>
    </w:p>
    <w:p w14:paraId="4224F2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本文件未采用国际标准或国外先进标准。</w:t>
      </w:r>
    </w:p>
    <w:p w14:paraId="0E44065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八、推广应用（包括实施措施；实施方向、如以标准为依据开展的产业推进、行业管理等有关活动）</w:t>
      </w:r>
    </w:p>
    <w:p w14:paraId="3D190F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无 。</w:t>
      </w:r>
    </w:p>
    <w:p w14:paraId="1603C286">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八、其他应说明的事项</w:t>
      </w:r>
    </w:p>
    <w:p w14:paraId="4EA2F8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sz w:val="28"/>
          <w:szCs w:val="28"/>
        </w:rPr>
      </w:pPr>
      <w:r>
        <w:rPr>
          <w:rFonts w:hint="eastAsia" w:ascii="仿宋" w:hAnsi="仿宋" w:eastAsia="仿宋"/>
          <w:sz w:val="28"/>
          <w:szCs w:val="28"/>
        </w:rPr>
        <w:t>无 。</w:t>
      </w:r>
    </w:p>
    <w:p w14:paraId="114C2728">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九、征求意见说明</w:t>
      </w:r>
    </w:p>
    <w:p w14:paraId="3BDC94D0">
      <w:pPr>
        <w:jc w:val="center"/>
        <w:rPr>
          <w:rFonts w:hint="eastAsia" w:asciiTheme="minorEastAsia" w:hAnsiTheme="minorEastAsia"/>
          <w:bCs/>
          <w:sz w:val="28"/>
          <w:szCs w:val="28"/>
        </w:rPr>
      </w:pPr>
    </w:p>
    <w:p w14:paraId="2F8A6988">
      <w:pPr>
        <w:jc w:val="center"/>
        <w:rPr>
          <w:rFonts w:hint="eastAsia" w:asciiTheme="minorEastAsia" w:hAnsiTheme="minorEastAsia"/>
          <w:bCs/>
          <w:sz w:val="28"/>
          <w:szCs w:val="28"/>
        </w:rPr>
      </w:pPr>
    </w:p>
    <w:p w14:paraId="40294356">
      <w:pPr>
        <w:jc w:val="center"/>
        <w:rPr>
          <w:rFonts w:hint="eastAsia" w:asciiTheme="minorEastAsia" w:hAnsiTheme="minorEastAsia"/>
          <w:bCs/>
          <w:sz w:val="28"/>
          <w:szCs w:val="28"/>
        </w:rPr>
      </w:pPr>
    </w:p>
    <w:p w14:paraId="28C14FC2">
      <w:pPr>
        <w:jc w:val="center"/>
        <w:rPr>
          <w:rFonts w:hint="eastAsia" w:asciiTheme="minorEastAsia" w:hAnsiTheme="minorEastAsia"/>
          <w:bCs/>
          <w:sz w:val="28"/>
          <w:szCs w:val="28"/>
        </w:rPr>
      </w:pPr>
    </w:p>
    <w:p w14:paraId="629C2AEA">
      <w:pPr>
        <w:jc w:val="center"/>
        <w:rPr>
          <w:rFonts w:hint="eastAsia" w:asciiTheme="minorEastAsia" w:hAnsiTheme="minorEastAsia"/>
          <w:bCs/>
          <w:sz w:val="28"/>
          <w:szCs w:val="28"/>
        </w:rPr>
      </w:pPr>
    </w:p>
    <w:p w14:paraId="1F16778C">
      <w:pPr>
        <w:jc w:val="center"/>
        <w:rPr>
          <w:rFonts w:hint="eastAsia" w:asciiTheme="minorEastAsia" w:hAnsiTheme="minorEastAsia"/>
          <w:bCs/>
          <w:sz w:val="28"/>
          <w:szCs w:val="28"/>
        </w:rPr>
      </w:pPr>
      <w:r>
        <w:rPr>
          <w:rFonts w:hint="eastAsia" w:asciiTheme="minorEastAsia" w:hAnsiTheme="minorEastAsia"/>
          <w:bCs/>
          <w:sz w:val="28"/>
          <w:szCs w:val="28"/>
        </w:rPr>
        <w:t>《</w:t>
      </w:r>
      <w:r>
        <w:rPr>
          <w:rFonts w:hint="eastAsia" w:asciiTheme="minorEastAsia" w:hAnsiTheme="minorEastAsia"/>
          <w:bCs/>
          <w:sz w:val="28"/>
          <w:szCs w:val="28"/>
          <w:lang w:val="en-US" w:eastAsia="zh-CN"/>
        </w:rPr>
        <w:t>内蒙古优势特色农畜产品品质评价管理技术规范  小米</w:t>
      </w:r>
      <w:r>
        <w:rPr>
          <w:rFonts w:hint="eastAsia" w:asciiTheme="minorEastAsia" w:hAnsiTheme="minorEastAsia"/>
          <w:bCs/>
          <w:sz w:val="28"/>
          <w:szCs w:val="28"/>
        </w:rPr>
        <w:t>》</w:t>
      </w:r>
    </w:p>
    <w:p w14:paraId="0B2CEA76">
      <w:pPr>
        <w:jc w:val="center"/>
        <w:rPr>
          <w:rFonts w:hint="eastAsia" w:asciiTheme="minorEastAsia" w:hAnsiTheme="minorEastAsia"/>
          <w:bCs/>
          <w:sz w:val="28"/>
          <w:szCs w:val="28"/>
        </w:rPr>
      </w:pPr>
      <w:r>
        <w:rPr>
          <w:rFonts w:hint="eastAsia" w:asciiTheme="minorEastAsia" w:hAnsiTheme="minorEastAsia"/>
          <w:bCs/>
          <w:sz w:val="28"/>
          <w:szCs w:val="28"/>
        </w:rPr>
        <w:t>征求意见汇总表</w:t>
      </w:r>
    </w:p>
    <w:p w14:paraId="0FD4A4C7">
      <w:pPr>
        <w:jc w:val="left"/>
        <w:rPr>
          <w:rFonts w:hint="eastAsia" w:ascii="宋体" w:hAnsi="宋体" w:eastAsia="宋体"/>
          <w:sz w:val="24"/>
          <w:szCs w:val="24"/>
        </w:rPr>
      </w:pPr>
      <w:r>
        <w:rPr>
          <w:rFonts w:hint="eastAsia" w:ascii="宋体" w:hAnsi="宋体" w:eastAsia="宋体"/>
          <w:sz w:val="24"/>
          <w:szCs w:val="24"/>
        </w:rPr>
        <w:t>起草单位：</w:t>
      </w:r>
      <w:r>
        <w:rPr>
          <w:rFonts w:ascii="宋体" w:hAnsi="宋体" w:eastAsia="宋体"/>
          <w:sz w:val="24"/>
          <w:szCs w:val="24"/>
        </w:rPr>
        <w:t xml:space="preserve"> </w:t>
      </w:r>
      <w:r>
        <w:rPr>
          <w:rFonts w:hint="eastAsia" w:ascii="宋体" w:hAnsi="宋体" w:eastAsia="宋体"/>
          <w:sz w:val="24"/>
          <w:szCs w:val="24"/>
          <w:lang w:val="en-US" w:eastAsia="zh-CN"/>
        </w:rPr>
        <w:t>内蒙古自治区农牧厅、内蒙古自治区农畜产品质量安全中心</w:t>
      </w:r>
    </w:p>
    <w:p w14:paraId="789EBED3">
      <w:pPr>
        <w:spacing w:line="360" w:lineRule="exact"/>
        <w:jc w:val="left"/>
        <w:rPr>
          <w:rFonts w:hint="default" w:ascii="宋体" w:hAnsi="宋体" w:eastAsia="宋体"/>
          <w:sz w:val="24"/>
          <w:szCs w:val="24"/>
          <w:lang w:val="en-US" w:eastAsia="zh-CN"/>
        </w:rPr>
      </w:pPr>
      <w:r>
        <w:rPr>
          <w:rFonts w:hint="eastAsia" w:ascii="宋体" w:hAnsi="宋体" w:eastAsia="宋体"/>
          <w:sz w:val="24"/>
          <w:szCs w:val="24"/>
        </w:rPr>
        <w:t>联 系 人：</w:t>
      </w:r>
      <w:r>
        <w:rPr>
          <w:rFonts w:ascii="宋体" w:hAnsi="宋体" w:eastAsia="宋体"/>
          <w:sz w:val="24"/>
          <w:szCs w:val="24"/>
        </w:rPr>
        <w:t xml:space="preserve"> </w:t>
      </w:r>
      <w:r>
        <w:rPr>
          <w:rFonts w:hint="eastAsia" w:ascii="宋体" w:hAnsi="宋体" w:eastAsia="宋体"/>
          <w:sz w:val="24"/>
          <w:szCs w:val="24"/>
          <w:lang w:val="en-US" w:eastAsia="zh-CN"/>
        </w:rPr>
        <w:t>张欣昕</w:t>
      </w:r>
    </w:p>
    <w:p w14:paraId="5BFB65F8">
      <w:pPr>
        <w:spacing w:line="360" w:lineRule="exact"/>
        <w:jc w:val="left"/>
        <w:rPr>
          <w:rFonts w:hint="default" w:ascii="宋体" w:hAnsi="宋体" w:eastAsia="宋体"/>
          <w:sz w:val="24"/>
          <w:szCs w:val="24"/>
          <w:lang w:val="en-US" w:eastAsia="zh-CN"/>
        </w:rPr>
      </w:pPr>
      <w:r>
        <w:rPr>
          <w:rFonts w:hint="eastAsia" w:ascii="宋体" w:hAnsi="宋体" w:eastAsia="宋体"/>
          <w:sz w:val="24"/>
          <w:szCs w:val="24"/>
        </w:rPr>
        <w:t xml:space="preserve">联系电话： </w:t>
      </w:r>
      <w:r>
        <w:rPr>
          <w:rFonts w:hint="eastAsia" w:ascii="宋体" w:hAnsi="宋体" w:eastAsia="宋体"/>
          <w:sz w:val="24"/>
          <w:szCs w:val="24"/>
          <w:lang w:val="en-US" w:eastAsia="zh-CN"/>
        </w:rPr>
        <w:t>18686086469</w:t>
      </w:r>
    </w:p>
    <w:tbl>
      <w:tblPr>
        <w:tblStyle w:val="6"/>
        <w:tblW w:w="9028" w:type="dxa"/>
        <w:tblInd w:w="-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417"/>
        <w:gridCol w:w="1843"/>
        <w:gridCol w:w="1843"/>
        <w:gridCol w:w="1275"/>
        <w:gridCol w:w="1754"/>
      </w:tblGrid>
      <w:tr w14:paraId="2FE5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96" w:type="dxa"/>
            <w:vAlign w:val="center"/>
          </w:tcPr>
          <w:p w14:paraId="601AAA60">
            <w:pPr>
              <w:spacing w:line="400" w:lineRule="exact"/>
              <w:jc w:val="center"/>
              <w:rPr>
                <w:rFonts w:ascii="仿宋" w:hAnsi="仿宋" w:eastAsia="仿宋"/>
                <w:b/>
                <w:bCs/>
                <w:sz w:val="24"/>
              </w:rPr>
            </w:pPr>
            <w:r>
              <w:rPr>
                <w:rFonts w:hint="eastAsia" w:ascii="仿宋" w:hAnsi="仿宋" w:eastAsia="仿宋"/>
                <w:b/>
                <w:bCs/>
                <w:sz w:val="24"/>
              </w:rPr>
              <w:t>序号</w:t>
            </w:r>
          </w:p>
        </w:tc>
        <w:tc>
          <w:tcPr>
            <w:tcW w:w="1417" w:type="dxa"/>
            <w:vAlign w:val="center"/>
          </w:tcPr>
          <w:p w14:paraId="3482125F">
            <w:pPr>
              <w:spacing w:line="400" w:lineRule="exact"/>
              <w:jc w:val="center"/>
              <w:rPr>
                <w:rFonts w:ascii="仿宋" w:hAnsi="仿宋" w:eastAsia="仿宋"/>
                <w:b/>
                <w:bCs/>
                <w:sz w:val="24"/>
              </w:rPr>
            </w:pPr>
            <w:r>
              <w:rPr>
                <w:rFonts w:hint="eastAsia" w:ascii="仿宋" w:hAnsi="仿宋" w:eastAsia="仿宋"/>
                <w:b/>
                <w:bCs/>
                <w:sz w:val="24"/>
              </w:rPr>
              <w:t>章节编号</w:t>
            </w:r>
          </w:p>
        </w:tc>
        <w:tc>
          <w:tcPr>
            <w:tcW w:w="1843" w:type="dxa"/>
            <w:vAlign w:val="center"/>
          </w:tcPr>
          <w:p w14:paraId="63612D9B">
            <w:pPr>
              <w:spacing w:line="400" w:lineRule="exact"/>
              <w:jc w:val="center"/>
              <w:rPr>
                <w:rFonts w:ascii="仿宋" w:hAnsi="仿宋" w:eastAsia="仿宋"/>
                <w:b/>
                <w:bCs/>
                <w:sz w:val="24"/>
              </w:rPr>
            </w:pPr>
            <w:r>
              <w:rPr>
                <w:rFonts w:hint="eastAsia" w:ascii="仿宋" w:hAnsi="仿宋" w:eastAsia="仿宋"/>
                <w:b/>
                <w:bCs/>
                <w:sz w:val="24"/>
              </w:rPr>
              <w:t>意见</w:t>
            </w:r>
          </w:p>
        </w:tc>
        <w:tc>
          <w:tcPr>
            <w:tcW w:w="1843" w:type="dxa"/>
            <w:vAlign w:val="center"/>
          </w:tcPr>
          <w:p w14:paraId="5B296530">
            <w:pPr>
              <w:spacing w:line="400" w:lineRule="exact"/>
              <w:jc w:val="center"/>
              <w:rPr>
                <w:rFonts w:ascii="仿宋" w:hAnsi="仿宋" w:eastAsia="仿宋"/>
                <w:b/>
                <w:bCs/>
                <w:sz w:val="24"/>
              </w:rPr>
            </w:pPr>
            <w:r>
              <w:rPr>
                <w:rFonts w:hint="eastAsia" w:ascii="仿宋" w:hAnsi="仿宋" w:eastAsia="仿宋"/>
                <w:b/>
                <w:bCs/>
                <w:sz w:val="24"/>
              </w:rPr>
              <w:t>提出单位/专家</w:t>
            </w:r>
          </w:p>
        </w:tc>
        <w:tc>
          <w:tcPr>
            <w:tcW w:w="1275" w:type="dxa"/>
            <w:vAlign w:val="center"/>
          </w:tcPr>
          <w:p w14:paraId="087FAABB">
            <w:pPr>
              <w:spacing w:line="400" w:lineRule="exact"/>
              <w:jc w:val="center"/>
              <w:rPr>
                <w:rFonts w:ascii="仿宋" w:hAnsi="仿宋" w:eastAsia="仿宋"/>
                <w:b/>
                <w:bCs/>
                <w:sz w:val="24"/>
              </w:rPr>
            </w:pPr>
            <w:r>
              <w:rPr>
                <w:rFonts w:hint="eastAsia" w:ascii="仿宋" w:hAnsi="仿宋" w:eastAsia="仿宋"/>
                <w:b/>
                <w:bCs/>
                <w:sz w:val="24"/>
              </w:rPr>
              <w:t>是否采纳</w:t>
            </w:r>
          </w:p>
        </w:tc>
        <w:tc>
          <w:tcPr>
            <w:tcW w:w="1754" w:type="dxa"/>
            <w:vAlign w:val="center"/>
          </w:tcPr>
          <w:p w14:paraId="345D4515">
            <w:pPr>
              <w:spacing w:line="400" w:lineRule="exact"/>
              <w:jc w:val="center"/>
              <w:rPr>
                <w:rFonts w:ascii="仿宋" w:hAnsi="仿宋" w:eastAsia="仿宋"/>
                <w:b/>
                <w:bCs/>
                <w:sz w:val="24"/>
              </w:rPr>
            </w:pPr>
            <w:r>
              <w:rPr>
                <w:rFonts w:hint="eastAsia" w:ascii="仿宋" w:hAnsi="仿宋" w:eastAsia="仿宋"/>
                <w:b/>
                <w:bCs/>
                <w:sz w:val="24"/>
              </w:rPr>
              <w:t>不采纳</w:t>
            </w:r>
          </w:p>
          <w:p w14:paraId="28F2C724">
            <w:pPr>
              <w:spacing w:line="400" w:lineRule="exact"/>
              <w:jc w:val="center"/>
              <w:rPr>
                <w:rFonts w:ascii="仿宋" w:hAnsi="仿宋" w:eastAsia="仿宋"/>
                <w:b/>
                <w:bCs/>
                <w:sz w:val="24"/>
              </w:rPr>
            </w:pPr>
            <w:r>
              <w:rPr>
                <w:rFonts w:hint="eastAsia" w:ascii="仿宋" w:hAnsi="仿宋" w:eastAsia="仿宋"/>
                <w:b/>
                <w:bCs/>
                <w:sz w:val="24"/>
              </w:rPr>
              <w:t>（说明原因）</w:t>
            </w:r>
          </w:p>
        </w:tc>
      </w:tr>
      <w:tr w14:paraId="657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896" w:type="dxa"/>
            <w:vAlign w:val="center"/>
          </w:tcPr>
          <w:p w14:paraId="350E96ED">
            <w:pPr>
              <w:spacing w:line="400" w:lineRule="exact"/>
              <w:jc w:val="center"/>
              <w:rPr>
                <w:rFonts w:ascii="仿宋" w:hAnsi="仿宋" w:eastAsia="仿宋"/>
                <w:sz w:val="24"/>
              </w:rPr>
            </w:pPr>
            <w:r>
              <w:rPr>
                <w:rFonts w:hint="eastAsia" w:ascii="仿宋" w:hAnsi="仿宋" w:eastAsia="仿宋"/>
                <w:sz w:val="24"/>
              </w:rPr>
              <w:t>1</w:t>
            </w:r>
          </w:p>
        </w:tc>
        <w:tc>
          <w:tcPr>
            <w:tcW w:w="1417" w:type="dxa"/>
            <w:vAlign w:val="center"/>
          </w:tcPr>
          <w:p w14:paraId="12A0FF81">
            <w:pPr>
              <w:spacing w:line="400" w:lineRule="exact"/>
              <w:jc w:val="left"/>
              <w:rPr>
                <w:rFonts w:ascii="仿宋" w:hAnsi="仿宋" w:eastAsia="仿宋"/>
                <w:sz w:val="28"/>
                <w:szCs w:val="28"/>
              </w:rPr>
            </w:pPr>
          </w:p>
        </w:tc>
        <w:tc>
          <w:tcPr>
            <w:tcW w:w="1843" w:type="dxa"/>
            <w:vAlign w:val="center"/>
          </w:tcPr>
          <w:p w14:paraId="4A10592A">
            <w:pPr>
              <w:spacing w:line="400" w:lineRule="exact"/>
              <w:jc w:val="left"/>
              <w:rPr>
                <w:rFonts w:ascii="仿宋" w:hAnsi="仿宋" w:eastAsia="仿宋"/>
                <w:sz w:val="28"/>
                <w:szCs w:val="28"/>
              </w:rPr>
            </w:pPr>
          </w:p>
        </w:tc>
        <w:tc>
          <w:tcPr>
            <w:tcW w:w="1843" w:type="dxa"/>
            <w:vAlign w:val="center"/>
          </w:tcPr>
          <w:p w14:paraId="3350878B">
            <w:pPr>
              <w:spacing w:line="400" w:lineRule="exact"/>
              <w:jc w:val="left"/>
              <w:rPr>
                <w:rFonts w:ascii="仿宋" w:hAnsi="仿宋" w:eastAsia="仿宋"/>
                <w:sz w:val="28"/>
                <w:szCs w:val="28"/>
              </w:rPr>
            </w:pPr>
          </w:p>
        </w:tc>
        <w:tc>
          <w:tcPr>
            <w:tcW w:w="1275" w:type="dxa"/>
            <w:vAlign w:val="center"/>
          </w:tcPr>
          <w:p w14:paraId="503ADD08">
            <w:pPr>
              <w:spacing w:line="400" w:lineRule="exact"/>
              <w:jc w:val="left"/>
              <w:rPr>
                <w:rFonts w:ascii="仿宋" w:hAnsi="仿宋" w:eastAsia="仿宋"/>
                <w:sz w:val="24"/>
              </w:rPr>
            </w:pPr>
          </w:p>
        </w:tc>
        <w:tc>
          <w:tcPr>
            <w:tcW w:w="1754" w:type="dxa"/>
            <w:vAlign w:val="center"/>
          </w:tcPr>
          <w:p w14:paraId="5122284B">
            <w:pPr>
              <w:spacing w:line="400" w:lineRule="exact"/>
              <w:jc w:val="left"/>
              <w:rPr>
                <w:rFonts w:ascii="仿宋" w:hAnsi="仿宋" w:eastAsia="仿宋"/>
                <w:sz w:val="24"/>
              </w:rPr>
            </w:pPr>
          </w:p>
        </w:tc>
      </w:tr>
      <w:tr w14:paraId="7D99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96" w:type="dxa"/>
            <w:vAlign w:val="center"/>
          </w:tcPr>
          <w:p w14:paraId="39816C02">
            <w:pPr>
              <w:spacing w:line="400" w:lineRule="exact"/>
              <w:jc w:val="center"/>
              <w:rPr>
                <w:rFonts w:ascii="仿宋" w:hAnsi="仿宋" w:eastAsia="仿宋"/>
                <w:sz w:val="24"/>
              </w:rPr>
            </w:pPr>
            <w:r>
              <w:rPr>
                <w:rFonts w:hint="eastAsia" w:ascii="仿宋" w:hAnsi="仿宋" w:eastAsia="仿宋"/>
                <w:sz w:val="24"/>
              </w:rPr>
              <w:t>2</w:t>
            </w:r>
          </w:p>
        </w:tc>
        <w:tc>
          <w:tcPr>
            <w:tcW w:w="1417" w:type="dxa"/>
            <w:vAlign w:val="center"/>
          </w:tcPr>
          <w:p w14:paraId="064E05F2">
            <w:pPr>
              <w:spacing w:line="400" w:lineRule="exact"/>
              <w:jc w:val="left"/>
              <w:rPr>
                <w:rFonts w:ascii="仿宋" w:hAnsi="仿宋" w:eastAsia="仿宋"/>
                <w:sz w:val="28"/>
                <w:szCs w:val="28"/>
              </w:rPr>
            </w:pPr>
          </w:p>
        </w:tc>
        <w:tc>
          <w:tcPr>
            <w:tcW w:w="1843" w:type="dxa"/>
            <w:vAlign w:val="center"/>
          </w:tcPr>
          <w:p w14:paraId="36075633">
            <w:pPr>
              <w:spacing w:line="400" w:lineRule="exact"/>
              <w:jc w:val="left"/>
              <w:rPr>
                <w:rFonts w:ascii="仿宋" w:hAnsi="仿宋" w:eastAsia="仿宋"/>
                <w:sz w:val="28"/>
                <w:szCs w:val="28"/>
              </w:rPr>
            </w:pPr>
          </w:p>
        </w:tc>
        <w:tc>
          <w:tcPr>
            <w:tcW w:w="1843" w:type="dxa"/>
            <w:vAlign w:val="center"/>
          </w:tcPr>
          <w:p w14:paraId="67EED451">
            <w:pPr>
              <w:spacing w:line="400" w:lineRule="exact"/>
              <w:jc w:val="left"/>
              <w:rPr>
                <w:rFonts w:ascii="仿宋" w:hAnsi="仿宋" w:eastAsia="仿宋"/>
                <w:sz w:val="28"/>
                <w:szCs w:val="28"/>
              </w:rPr>
            </w:pPr>
          </w:p>
        </w:tc>
        <w:tc>
          <w:tcPr>
            <w:tcW w:w="1275" w:type="dxa"/>
            <w:vAlign w:val="center"/>
          </w:tcPr>
          <w:p w14:paraId="0B3985C0">
            <w:pPr>
              <w:spacing w:line="400" w:lineRule="exact"/>
              <w:jc w:val="left"/>
              <w:rPr>
                <w:rFonts w:ascii="仿宋" w:hAnsi="仿宋" w:eastAsia="仿宋"/>
                <w:sz w:val="24"/>
              </w:rPr>
            </w:pPr>
          </w:p>
        </w:tc>
        <w:tc>
          <w:tcPr>
            <w:tcW w:w="1754" w:type="dxa"/>
            <w:vAlign w:val="center"/>
          </w:tcPr>
          <w:p w14:paraId="7A565B04">
            <w:pPr>
              <w:spacing w:line="400" w:lineRule="exact"/>
              <w:jc w:val="left"/>
              <w:rPr>
                <w:rFonts w:ascii="仿宋" w:hAnsi="仿宋" w:eastAsia="仿宋"/>
                <w:sz w:val="24"/>
              </w:rPr>
            </w:pPr>
          </w:p>
        </w:tc>
      </w:tr>
      <w:tr w14:paraId="2D63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48E6F2B7">
            <w:pPr>
              <w:spacing w:line="400" w:lineRule="exact"/>
              <w:jc w:val="center"/>
              <w:rPr>
                <w:rFonts w:ascii="仿宋" w:hAnsi="仿宋" w:eastAsia="仿宋"/>
                <w:sz w:val="24"/>
              </w:rPr>
            </w:pPr>
            <w:r>
              <w:rPr>
                <w:rFonts w:hint="eastAsia" w:ascii="仿宋" w:hAnsi="仿宋" w:eastAsia="仿宋"/>
                <w:sz w:val="24"/>
              </w:rPr>
              <w:t>3</w:t>
            </w:r>
          </w:p>
        </w:tc>
        <w:tc>
          <w:tcPr>
            <w:tcW w:w="1417" w:type="dxa"/>
            <w:vAlign w:val="center"/>
          </w:tcPr>
          <w:p w14:paraId="3F6D9BEB">
            <w:pPr>
              <w:spacing w:line="400" w:lineRule="exact"/>
              <w:rPr>
                <w:rFonts w:ascii="仿宋" w:hAnsi="仿宋" w:eastAsia="仿宋"/>
                <w:sz w:val="28"/>
                <w:szCs w:val="28"/>
              </w:rPr>
            </w:pPr>
          </w:p>
        </w:tc>
        <w:tc>
          <w:tcPr>
            <w:tcW w:w="1843" w:type="dxa"/>
            <w:vAlign w:val="center"/>
          </w:tcPr>
          <w:p w14:paraId="4875D6BB">
            <w:pPr>
              <w:spacing w:line="400" w:lineRule="exact"/>
              <w:jc w:val="left"/>
              <w:rPr>
                <w:rFonts w:ascii="仿宋" w:hAnsi="仿宋" w:eastAsia="仿宋"/>
                <w:sz w:val="28"/>
                <w:szCs w:val="28"/>
              </w:rPr>
            </w:pPr>
          </w:p>
        </w:tc>
        <w:tc>
          <w:tcPr>
            <w:tcW w:w="1843" w:type="dxa"/>
            <w:vAlign w:val="center"/>
          </w:tcPr>
          <w:p w14:paraId="119629F3">
            <w:pPr>
              <w:spacing w:line="400" w:lineRule="exact"/>
              <w:jc w:val="left"/>
              <w:rPr>
                <w:rFonts w:ascii="仿宋" w:hAnsi="仿宋" w:eastAsia="仿宋"/>
                <w:sz w:val="28"/>
                <w:szCs w:val="28"/>
              </w:rPr>
            </w:pPr>
          </w:p>
        </w:tc>
        <w:tc>
          <w:tcPr>
            <w:tcW w:w="1275" w:type="dxa"/>
            <w:vAlign w:val="center"/>
          </w:tcPr>
          <w:p w14:paraId="4AE2F2EC">
            <w:pPr>
              <w:spacing w:line="400" w:lineRule="exact"/>
              <w:jc w:val="left"/>
              <w:rPr>
                <w:rFonts w:ascii="Arial" w:hAnsi="Arial" w:eastAsia="仿宋" w:cs="Arial"/>
                <w:sz w:val="24"/>
              </w:rPr>
            </w:pPr>
          </w:p>
        </w:tc>
        <w:tc>
          <w:tcPr>
            <w:tcW w:w="1754" w:type="dxa"/>
            <w:vAlign w:val="center"/>
          </w:tcPr>
          <w:p w14:paraId="11B6D074">
            <w:pPr>
              <w:spacing w:line="400" w:lineRule="exact"/>
              <w:jc w:val="left"/>
              <w:rPr>
                <w:rFonts w:ascii="仿宋" w:hAnsi="仿宋" w:eastAsia="仿宋"/>
                <w:sz w:val="24"/>
              </w:rPr>
            </w:pPr>
          </w:p>
        </w:tc>
      </w:tr>
      <w:tr w14:paraId="288E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485D9AD2">
            <w:pPr>
              <w:spacing w:line="400" w:lineRule="exact"/>
              <w:jc w:val="center"/>
              <w:rPr>
                <w:rFonts w:ascii="仿宋" w:hAnsi="仿宋" w:eastAsia="仿宋"/>
                <w:sz w:val="24"/>
              </w:rPr>
            </w:pPr>
            <w:r>
              <w:rPr>
                <w:rFonts w:hint="eastAsia" w:ascii="仿宋" w:hAnsi="仿宋" w:eastAsia="仿宋"/>
                <w:sz w:val="24"/>
              </w:rPr>
              <w:t>4</w:t>
            </w:r>
          </w:p>
        </w:tc>
        <w:tc>
          <w:tcPr>
            <w:tcW w:w="1417" w:type="dxa"/>
            <w:vAlign w:val="center"/>
          </w:tcPr>
          <w:p w14:paraId="025D705E">
            <w:pPr>
              <w:spacing w:line="400" w:lineRule="exact"/>
              <w:rPr>
                <w:rFonts w:ascii="仿宋" w:hAnsi="仿宋" w:eastAsia="仿宋"/>
                <w:sz w:val="28"/>
                <w:szCs w:val="28"/>
              </w:rPr>
            </w:pPr>
          </w:p>
        </w:tc>
        <w:tc>
          <w:tcPr>
            <w:tcW w:w="1843" w:type="dxa"/>
            <w:vAlign w:val="center"/>
          </w:tcPr>
          <w:p w14:paraId="77A68CEF">
            <w:pPr>
              <w:spacing w:line="400" w:lineRule="exact"/>
              <w:jc w:val="left"/>
              <w:rPr>
                <w:rFonts w:ascii="仿宋" w:hAnsi="仿宋" w:eastAsia="仿宋"/>
                <w:sz w:val="28"/>
                <w:szCs w:val="28"/>
              </w:rPr>
            </w:pPr>
          </w:p>
        </w:tc>
        <w:tc>
          <w:tcPr>
            <w:tcW w:w="1843" w:type="dxa"/>
            <w:vAlign w:val="center"/>
          </w:tcPr>
          <w:p w14:paraId="34DCE074">
            <w:pPr>
              <w:spacing w:line="400" w:lineRule="exact"/>
              <w:jc w:val="left"/>
              <w:rPr>
                <w:rFonts w:ascii="仿宋" w:hAnsi="仿宋" w:eastAsia="仿宋"/>
                <w:sz w:val="28"/>
                <w:szCs w:val="28"/>
              </w:rPr>
            </w:pPr>
          </w:p>
        </w:tc>
        <w:tc>
          <w:tcPr>
            <w:tcW w:w="1275" w:type="dxa"/>
            <w:vAlign w:val="center"/>
          </w:tcPr>
          <w:p w14:paraId="154D3E52">
            <w:pPr>
              <w:spacing w:line="400" w:lineRule="exact"/>
              <w:jc w:val="left"/>
              <w:rPr>
                <w:rFonts w:ascii="Arial" w:hAnsi="Arial" w:eastAsia="仿宋" w:cs="Arial"/>
                <w:sz w:val="24"/>
              </w:rPr>
            </w:pPr>
          </w:p>
        </w:tc>
        <w:tc>
          <w:tcPr>
            <w:tcW w:w="1754" w:type="dxa"/>
            <w:vAlign w:val="center"/>
          </w:tcPr>
          <w:p w14:paraId="4A0C02BF">
            <w:pPr>
              <w:spacing w:line="400" w:lineRule="exact"/>
              <w:jc w:val="left"/>
              <w:rPr>
                <w:rFonts w:ascii="仿宋" w:hAnsi="仿宋" w:eastAsia="仿宋"/>
                <w:sz w:val="24"/>
              </w:rPr>
            </w:pPr>
          </w:p>
        </w:tc>
      </w:tr>
      <w:tr w14:paraId="23D5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51395D91">
            <w:pPr>
              <w:spacing w:line="400" w:lineRule="exact"/>
              <w:jc w:val="center"/>
              <w:rPr>
                <w:rFonts w:ascii="仿宋" w:hAnsi="仿宋" w:eastAsia="仿宋"/>
                <w:sz w:val="24"/>
              </w:rPr>
            </w:pPr>
            <w:r>
              <w:rPr>
                <w:rFonts w:hint="eastAsia" w:ascii="仿宋" w:hAnsi="仿宋" w:eastAsia="仿宋"/>
                <w:sz w:val="24"/>
              </w:rPr>
              <w:t>5</w:t>
            </w:r>
          </w:p>
        </w:tc>
        <w:tc>
          <w:tcPr>
            <w:tcW w:w="1417" w:type="dxa"/>
            <w:vAlign w:val="center"/>
          </w:tcPr>
          <w:p w14:paraId="7F9FF204">
            <w:pPr>
              <w:spacing w:line="400" w:lineRule="exact"/>
              <w:rPr>
                <w:rFonts w:ascii="仿宋" w:hAnsi="仿宋" w:eastAsia="仿宋"/>
                <w:sz w:val="28"/>
                <w:szCs w:val="28"/>
              </w:rPr>
            </w:pPr>
          </w:p>
        </w:tc>
        <w:tc>
          <w:tcPr>
            <w:tcW w:w="1843" w:type="dxa"/>
            <w:vAlign w:val="center"/>
          </w:tcPr>
          <w:p w14:paraId="1C890246">
            <w:pPr>
              <w:spacing w:line="400" w:lineRule="exact"/>
              <w:jc w:val="left"/>
              <w:rPr>
                <w:rFonts w:ascii="仿宋" w:hAnsi="仿宋" w:eastAsia="仿宋"/>
                <w:sz w:val="28"/>
                <w:szCs w:val="28"/>
              </w:rPr>
            </w:pPr>
          </w:p>
        </w:tc>
        <w:tc>
          <w:tcPr>
            <w:tcW w:w="1843" w:type="dxa"/>
            <w:vAlign w:val="center"/>
          </w:tcPr>
          <w:p w14:paraId="6D3C8345">
            <w:pPr>
              <w:spacing w:line="400" w:lineRule="exact"/>
              <w:jc w:val="left"/>
              <w:rPr>
                <w:rFonts w:ascii="仿宋" w:hAnsi="仿宋" w:eastAsia="仿宋"/>
                <w:sz w:val="28"/>
                <w:szCs w:val="28"/>
              </w:rPr>
            </w:pPr>
          </w:p>
        </w:tc>
        <w:tc>
          <w:tcPr>
            <w:tcW w:w="1275" w:type="dxa"/>
            <w:vAlign w:val="center"/>
          </w:tcPr>
          <w:p w14:paraId="14E9ED0A">
            <w:pPr>
              <w:spacing w:line="400" w:lineRule="exact"/>
              <w:jc w:val="left"/>
              <w:rPr>
                <w:rFonts w:ascii="Arial" w:hAnsi="Arial" w:eastAsia="仿宋" w:cs="Arial"/>
                <w:sz w:val="24"/>
              </w:rPr>
            </w:pPr>
          </w:p>
        </w:tc>
        <w:tc>
          <w:tcPr>
            <w:tcW w:w="1754" w:type="dxa"/>
            <w:vAlign w:val="center"/>
          </w:tcPr>
          <w:p w14:paraId="7649B0C8">
            <w:pPr>
              <w:spacing w:line="400" w:lineRule="exact"/>
              <w:jc w:val="left"/>
              <w:rPr>
                <w:rFonts w:ascii="仿宋" w:hAnsi="仿宋" w:eastAsia="仿宋"/>
                <w:sz w:val="24"/>
              </w:rPr>
            </w:pPr>
          </w:p>
        </w:tc>
      </w:tr>
    </w:tbl>
    <w:p w14:paraId="5E56B0A4">
      <w:pPr>
        <w:rPr>
          <w:rFonts w:ascii="仿宋" w:hAnsi="仿宋" w:eastAsia="仿宋"/>
          <w:sz w:val="28"/>
          <w:szCs w:val="28"/>
        </w:rPr>
      </w:pPr>
    </w:p>
    <w:p w14:paraId="30345E35">
      <w:pPr>
        <w:wordWrap w:val="0"/>
        <w:spacing w:line="360" w:lineRule="auto"/>
        <w:ind w:firstLine="562" w:firstLineChars="200"/>
        <w:jc w:val="right"/>
        <w:rPr>
          <w:rFonts w:ascii="Times New Roman" w:hAnsi="Times New Roman" w:eastAsia="仿宋"/>
          <w:b/>
          <w:sz w:val="28"/>
          <w:szCs w:val="28"/>
        </w:rPr>
      </w:pPr>
      <w:r>
        <w:rPr>
          <w:rFonts w:ascii="Times New Roman" w:hAnsi="仿宋" w:eastAsia="仿宋"/>
          <w:b/>
          <w:sz w:val="28"/>
          <w:szCs w:val="28"/>
        </w:rPr>
        <w:t>起草组</w:t>
      </w:r>
      <w:r>
        <w:rPr>
          <w:rFonts w:ascii="Times New Roman" w:hAnsi="Times New Roman" w:eastAsia="仿宋"/>
          <w:b/>
          <w:sz w:val="28"/>
          <w:szCs w:val="28"/>
        </w:rPr>
        <w:t xml:space="preserve">  </w:t>
      </w:r>
    </w:p>
    <w:p w14:paraId="6810EDF6">
      <w:pPr>
        <w:rPr>
          <w:rFonts w:ascii="仿宋" w:hAnsi="仿宋" w:eastAsia="仿宋"/>
          <w:sz w:val="28"/>
          <w:szCs w:val="28"/>
        </w:rPr>
      </w:pPr>
      <w:r>
        <w:rPr>
          <w:rFonts w:ascii="Times New Roman" w:hAnsi="Times New Roman" w:eastAsia="仿宋"/>
          <w:b/>
          <w:sz w:val="28"/>
          <w:szCs w:val="28"/>
        </w:rPr>
        <w:t xml:space="preserve">                                               </w:t>
      </w:r>
      <w:r>
        <w:rPr>
          <w:rFonts w:hint="eastAsia" w:ascii="Times New Roman" w:hAnsi="Times New Roman" w:eastAsia="仿宋"/>
          <w:b/>
          <w:sz w:val="28"/>
          <w:szCs w:val="28"/>
          <w:lang w:val="en-US" w:eastAsia="zh-CN"/>
        </w:rPr>
        <w:t>2024</w:t>
      </w:r>
      <w:r>
        <w:rPr>
          <w:rFonts w:ascii="Times New Roman" w:hAnsi="Times New Roman" w:eastAsia="仿宋"/>
          <w:b/>
          <w:sz w:val="28"/>
          <w:szCs w:val="28"/>
        </w:rPr>
        <w:t xml:space="preserve"> </w:t>
      </w:r>
      <w:r>
        <w:rPr>
          <w:rFonts w:ascii="Times New Roman" w:hAnsi="仿宋" w:eastAsia="仿宋"/>
          <w:b/>
          <w:sz w:val="28"/>
          <w:szCs w:val="28"/>
        </w:rPr>
        <w:t>年</w:t>
      </w:r>
      <w:r>
        <w:rPr>
          <w:rFonts w:hint="eastAsia" w:ascii="Times New Roman" w:hAnsi="仿宋" w:eastAsia="仿宋"/>
          <w:b/>
          <w:sz w:val="28"/>
          <w:szCs w:val="28"/>
          <w:lang w:val="en-US" w:eastAsia="zh-CN"/>
        </w:rPr>
        <w:t>12</w:t>
      </w:r>
      <w:r>
        <w:rPr>
          <w:rFonts w:ascii="Times New Roman" w:hAnsi="仿宋" w:eastAsia="仿宋"/>
          <w:b/>
          <w:sz w:val="28"/>
          <w:szCs w:val="28"/>
        </w:rPr>
        <w:t>月</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64F3A"/>
    <w:multiLevelType w:val="singleLevel"/>
    <w:tmpl w:val="94164F3A"/>
    <w:lvl w:ilvl="0" w:tentative="0">
      <w:start w:val="3"/>
      <w:numFmt w:val="decimal"/>
      <w:suff w:val="nothing"/>
      <w:lvlText w:val="%1、"/>
      <w:lvlJc w:val="left"/>
    </w:lvl>
  </w:abstractNum>
  <w:abstractNum w:abstractNumId="1">
    <w:nsid w:val="E6307EDE"/>
    <w:multiLevelType w:val="singleLevel"/>
    <w:tmpl w:val="E6307EDE"/>
    <w:lvl w:ilvl="0" w:tentative="0">
      <w:start w:val="2"/>
      <w:numFmt w:val="chineseCounting"/>
      <w:suff w:val="nothing"/>
      <w:lvlText w:val="%1、"/>
      <w:lvlJc w:val="left"/>
      <w:rPr>
        <w:rFonts w:hint="eastAsia"/>
      </w:rPr>
    </w:lvl>
  </w:abstractNum>
  <w:abstractNum w:abstractNumId="2">
    <w:nsid w:val="21AC9432"/>
    <w:multiLevelType w:val="singleLevel"/>
    <w:tmpl w:val="21AC9432"/>
    <w:lvl w:ilvl="0" w:tentative="0">
      <w:start w:val="3"/>
      <w:numFmt w:val="decimal"/>
      <w:suff w:val="nothing"/>
      <w:lvlText w:val="%1、"/>
      <w:lvlJc w:val="left"/>
    </w:lvl>
  </w:abstractNum>
  <w:abstractNum w:abstractNumId="3">
    <w:nsid w:val="2B4B1DFD"/>
    <w:multiLevelType w:val="multilevel"/>
    <w:tmpl w:val="2B4B1DFD"/>
    <w:lvl w:ilvl="0" w:tentative="0">
      <w:start w:val="4"/>
      <w:numFmt w:val="decimal"/>
      <w:suff w:val="nothing"/>
      <w:lvlText w:val="%1　"/>
      <w:lvlJc w:val="left"/>
      <w:pPr>
        <w:ind w:left="0" w:firstLine="0"/>
      </w:pPr>
      <w:rPr>
        <w:rFonts w:hint="default" w:ascii="黑体" w:hAnsi="Times New Roman" w:eastAsia="黑体"/>
        <w:b w:val="0"/>
        <w:i w:val="0"/>
        <w:sz w:val="21"/>
        <w:szCs w:val="21"/>
      </w:rPr>
    </w:lvl>
    <w:lvl w:ilvl="1" w:tentative="0">
      <w:start w:val="1"/>
      <w:numFmt w:val="decimal"/>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6"/>
      <w:suff w:val="nothing"/>
      <w:lvlText w:val="%1.%2.%3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252AF0F"/>
    <w:multiLevelType w:val="multilevel"/>
    <w:tmpl w:val="6252AF0F"/>
    <w:lvl w:ilvl="0" w:tentative="0">
      <w:start w:val="1"/>
      <w:numFmt w:val="decimal"/>
      <w:pStyle w:val="17"/>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pStyle w:val="15"/>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suff w:val="nothing"/>
      <w:lvlText w:val="%1.%2.%3.%4.%5　"/>
      <w:lvlJc w:val="left"/>
      <w:pPr>
        <w:ind w:left="0" w:firstLine="0"/>
      </w:pPr>
      <w:rPr>
        <w:rFonts w:hint="default"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default"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ZjVmMDBhMWE4Mjk4NTgzMDRjOTMxMzQxM2M4YjQifQ=="/>
  </w:docVars>
  <w:rsids>
    <w:rsidRoot w:val="000B67F0"/>
    <w:rsid w:val="0000005D"/>
    <w:rsid w:val="00001A87"/>
    <w:rsid w:val="000040D0"/>
    <w:rsid w:val="00005414"/>
    <w:rsid w:val="0000562B"/>
    <w:rsid w:val="00006B78"/>
    <w:rsid w:val="000071A6"/>
    <w:rsid w:val="0000721A"/>
    <w:rsid w:val="00012121"/>
    <w:rsid w:val="0001753B"/>
    <w:rsid w:val="000210DD"/>
    <w:rsid w:val="000223B0"/>
    <w:rsid w:val="0002293A"/>
    <w:rsid w:val="000308D8"/>
    <w:rsid w:val="00031544"/>
    <w:rsid w:val="00032DC9"/>
    <w:rsid w:val="00033218"/>
    <w:rsid w:val="0003323D"/>
    <w:rsid w:val="0003329D"/>
    <w:rsid w:val="000411CB"/>
    <w:rsid w:val="0004120B"/>
    <w:rsid w:val="00044938"/>
    <w:rsid w:val="00045AEF"/>
    <w:rsid w:val="00045CB9"/>
    <w:rsid w:val="000500FC"/>
    <w:rsid w:val="00050A84"/>
    <w:rsid w:val="00052FA7"/>
    <w:rsid w:val="00055D9D"/>
    <w:rsid w:val="00056D20"/>
    <w:rsid w:val="00057EA5"/>
    <w:rsid w:val="0006044B"/>
    <w:rsid w:val="00060623"/>
    <w:rsid w:val="00060BB1"/>
    <w:rsid w:val="0006174A"/>
    <w:rsid w:val="00063360"/>
    <w:rsid w:val="00072911"/>
    <w:rsid w:val="00072C4D"/>
    <w:rsid w:val="0007379E"/>
    <w:rsid w:val="00073AEB"/>
    <w:rsid w:val="000745DC"/>
    <w:rsid w:val="00076C3F"/>
    <w:rsid w:val="00077914"/>
    <w:rsid w:val="00080D5B"/>
    <w:rsid w:val="00083FEF"/>
    <w:rsid w:val="00086FE3"/>
    <w:rsid w:val="00092DB8"/>
    <w:rsid w:val="00095602"/>
    <w:rsid w:val="00096223"/>
    <w:rsid w:val="000A1E07"/>
    <w:rsid w:val="000A2AD4"/>
    <w:rsid w:val="000A5629"/>
    <w:rsid w:val="000A5C8C"/>
    <w:rsid w:val="000A6F89"/>
    <w:rsid w:val="000A7420"/>
    <w:rsid w:val="000B03C8"/>
    <w:rsid w:val="000B1C90"/>
    <w:rsid w:val="000B1FC0"/>
    <w:rsid w:val="000B2531"/>
    <w:rsid w:val="000B28C1"/>
    <w:rsid w:val="000B4A7F"/>
    <w:rsid w:val="000B52D6"/>
    <w:rsid w:val="000B65E3"/>
    <w:rsid w:val="000B67F0"/>
    <w:rsid w:val="000B72F3"/>
    <w:rsid w:val="000C0D9C"/>
    <w:rsid w:val="000C188C"/>
    <w:rsid w:val="000C576A"/>
    <w:rsid w:val="000C5C97"/>
    <w:rsid w:val="000C5E00"/>
    <w:rsid w:val="000C6DF6"/>
    <w:rsid w:val="000D0577"/>
    <w:rsid w:val="000D2987"/>
    <w:rsid w:val="000D3ADB"/>
    <w:rsid w:val="000D470C"/>
    <w:rsid w:val="000D471A"/>
    <w:rsid w:val="000D5EA8"/>
    <w:rsid w:val="000D6BC2"/>
    <w:rsid w:val="000D717B"/>
    <w:rsid w:val="000E0072"/>
    <w:rsid w:val="000E3902"/>
    <w:rsid w:val="000E5419"/>
    <w:rsid w:val="000E6BF8"/>
    <w:rsid w:val="000E77E7"/>
    <w:rsid w:val="000F0167"/>
    <w:rsid w:val="000F0E29"/>
    <w:rsid w:val="000F0EE0"/>
    <w:rsid w:val="000F28EC"/>
    <w:rsid w:val="000F322B"/>
    <w:rsid w:val="000F6698"/>
    <w:rsid w:val="00100B55"/>
    <w:rsid w:val="00104873"/>
    <w:rsid w:val="00106C55"/>
    <w:rsid w:val="00107F18"/>
    <w:rsid w:val="00110990"/>
    <w:rsid w:val="00110FDE"/>
    <w:rsid w:val="0011250C"/>
    <w:rsid w:val="00115553"/>
    <w:rsid w:val="00117E52"/>
    <w:rsid w:val="0012117B"/>
    <w:rsid w:val="0012294F"/>
    <w:rsid w:val="0013511E"/>
    <w:rsid w:val="00141D2E"/>
    <w:rsid w:val="00142C07"/>
    <w:rsid w:val="001430A5"/>
    <w:rsid w:val="00143B5D"/>
    <w:rsid w:val="001454A6"/>
    <w:rsid w:val="0014630A"/>
    <w:rsid w:val="00147642"/>
    <w:rsid w:val="00147EC0"/>
    <w:rsid w:val="00152E30"/>
    <w:rsid w:val="0015382B"/>
    <w:rsid w:val="00155715"/>
    <w:rsid w:val="001578E0"/>
    <w:rsid w:val="00163D50"/>
    <w:rsid w:val="00172151"/>
    <w:rsid w:val="00172266"/>
    <w:rsid w:val="00173D61"/>
    <w:rsid w:val="00176AEF"/>
    <w:rsid w:val="00177726"/>
    <w:rsid w:val="00177DFA"/>
    <w:rsid w:val="001816D0"/>
    <w:rsid w:val="0018194A"/>
    <w:rsid w:val="00182A15"/>
    <w:rsid w:val="001906BE"/>
    <w:rsid w:val="00193609"/>
    <w:rsid w:val="0019389E"/>
    <w:rsid w:val="001940C1"/>
    <w:rsid w:val="001955EF"/>
    <w:rsid w:val="001A04FB"/>
    <w:rsid w:val="001A1B42"/>
    <w:rsid w:val="001A3810"/>
    <w:rsid w:val="001A3C19"/>
    <w:rsid w:val="001A4D20"/>
    <w:rsid w:val="001B1E1E"/>
    <w:rsid w:val="001B33FD"/>
    <w:rsid w:val="001B3A96"/>
    <w:rsid w:val="001C2F48"/>
    <w:rsid w:val="001C627D"/>
    <w:rsid w:val="001D44CE"/>
    <w:rsid w:val="001D7E9D"/>
    <w:rsid w:val="001E44CB"/>
    <w:rsid w:val="001E4E59"/>
    <w:rsid w:val="001E4F13"/>
    <w:rsid w:val="001E5BB8"/>
    <w:rsid w:val="001E7264"/>
    <w:rsid w:val="001E748C"/>
    <w:rsid w:val="001E77A7"/>
    <w:rsid w:val="001F2820"/>
    <w:rsid w:val="001F2CBD"/>
    <w:rsid w:val="001F32F1"/>
    <w:rsid w:val="001F6CBD"/>
    <w:rsid w:val="00203D68"/>
    <w:rsid w:val="002047DA"/>
    <w:rsid w:val="0020499C"/>
    <w:rsid w:val="0020517C"/>
    <w:rsid w:val="00205AA6"/>
    <w:rsid w:val="00205C0C"/>
    <w:rsid w:val="00206E20"/>
    <w:rsid w:val="00212CE0"/>
    <w:rsid w:val="0021388A"/>
    <w:rsid w:val="00213D26"/>
    <w:rsid w:val="00223320"/>
    <w:rsid w:val="00224115"/>
    <w:rsid w:val="002278A4"/>
    <w:rsid w:val="0023077F"/>
    <w:rsid w:val="0023177F"/>
    <w:rsid w:val="002357AA"/>
    <w:rsid w:val="0024066C"/>
    <w:rsid w:val="0024102B"/>
    <w:rsid w:val="002422DC"/>
    <w:rsid w:val="00242C90"/>
    <w:rsid w:val="00243443"/>
    <w:rsid w:val="002479E6"/>
    <w:rsid w:val="00247D50"/>
    <w:rsid w:val="002533B7"/>
    <w:rsid w:val="00253BD1"/>
    <w:rsid w:val="00253FC7"/>
    <w:rsid w:val="0025487C"/>
    <w:rsid w:val="002560D4"/>
    <w:rsid w:val="00256C72"/>
    <w:rsid w:val="0026318B"/>
    <w:rsid w:val="0026362D"/>
    <w:rsid w:val="00270008"/>
    <w:rsid w:val="002729E6"/>
    <w:rsid w:val="00275B3D"/>
    <w:rsid w:val="00277A36"/>
    <w:rsid w:val="002808AF"/>
    <w:rsid w:val="002812C0"/>
    <w:rsid w:val="0028357F"/>
    <w:rsid w:val="00283CF2"/>
    <w:rsid w:val="00286CF7"/>
    <w:rsid w:val="0029058F"/>
    <w:rsid w:val="002922BC"/>
    <w:rsid w:val="00292DF2"/>
    <w:rsid w:val="00293124"/>
    <w:rsid w:val="00294F39"/>
    <w:rsid w:val="0029614D"/>
    <w:rsid w:val="002971FE"/>
    <w:rsid w:val="002A0F8E"/>
    <w:rsid w:val="002A2A57"/>
    <w:rsid w:val="002A5F31"/>
    <w:rsid w:val="002A686E"/>
    <w:rsid w:val="002A75BE"/>
    <w:rsid w:val="002B442F"/>
    <w:rsid w:val="002B524C"/>
    <w:rsid w:val="002B5626"/>
    <w:rsid w:val="002B62DD"/>
    <w:rsid w:val="002C2397"/>
    <w:rsid w:val="002C2C08"/>
    <w:rsid w:val="002C420E"/>
    <w:rsid w:val="002C4279"/>
    <w:rsid w:val="002C7614"/>
    <w:rsid w:val="002C7B0B"/>
    <w:rsid w:val="002D0F20"/>
    <w:rsid w:val="002D1DC3"/>
    <w:rsid w:val="002D2AE8"/>
    <w:rsid w:val="002D3471"/>
    <w:rsid w:val="002D5BC2"/>
    <w:rsid w:val="002D6FC7"/>
    <w:rsid w:val="002E0636"/>
    <w:rsid w:val="002E34EF"/>
    <w:rsid w:val="002E41E8"/>
    <w:rsid w:val="002E7093"/>
    <w:rsid w:val="002F2563"/>
    <w:rsid w:val="002F2687"/>
    <w:rsid w:val="002F3B71"/>
    <w:rsid w:val="002F49BE"/>
    <w:rsid w:val="002F6B5A"/>
    <w:rsid w:val="002F73C5"/>
    <w:rsid w:val="00300841"/>
    <w:rsid w:val="00302950"/>
    <w:rsid w:val="00303C1B"/>
    <w:rsid w:val="00303FC7"/>
    <w:rsid w:val="00313C01"/>
    <w:rsid w:val="00315D64"/>
    <w:rsid w:val="0031707A"/>
    <w:rsid w:val="003204B2"/>
    <w:rsid w:val="003218D0"/>
    <w:rsid w:val="0032281C"/>
    <w:rsid w:val="003265D9"/>
    <w:rsid w:val="00332833"/>
    <w:rsid w:val="00335066"/>
    <w:rsid w:val="00335363"/>
    <w:rsid w:val="0033551B"/>
    <w:rsid w:val="00335959"/>
    <w:rsid w:val="00343196"/>
    <w:rsid w:val="00343CDF"/>
    <w:rsid w:val="00346893"/>
    <w:rsid w:val="00347507"/>
    <w:rsid w:val="00352C5D"/>
    <w:rsid w:val="0035750A"/>
    <w:rsid w:val="00357601"/>
    <w:rsid w:val="00361E07"/>
    <w:rsid w:val="00363155"/>
    <w:rsid w:val="00363D33"/>
    <w:rsid w:val="00364257"/>
    <w:rsid w:val="00364A96"/>
    <w:rsid w:val="00366512"/>
    <w:rsid w:val="003675E1"/>
    <w:rsid w:val="003713E4"/>
    <w:rsid w:val="003779C7"/>
    <w:rsid w:val="00380D7E"/>
    <w:rsid w:val="00380D99"/>
    <w:rsid w:val="00381C37"/>
    <w:rsid w:val="0038386B"/>
    <w:rsid w:val="00383C24"/>
    <w:rsid w:val="00385315"/>
    <w:rsid w:val="0038563A"/>
    <w:rsid w:val="00385C70"/>
    <w:rsid w:val="00386ABB"/>
    <w:rsid w:val="00386D3D"/>
    <w:rsid w:val="00390B63"/>
    <w:rsid w:val="0039195E"/>
    <w:rsid w:val="0039331E"/>
    <w:rsid w:val="00393FA8"/>
    <w:rsid w:val="00397D4C"/>
    <w:rsid w:val="003A11DF"/>
    <w:rsid w:val="003A1812"/>
    <w:rsid w:val="003A22D4"/>
    <w:rsid w:val="003A2A1A"/>
    <w:rsid w:val="003A4F50"/>
    <w:rsid w:val="003A59AD"/>
    <w:rsid w:val="003A780F"/>
    <w:rsid w:val="003A7835"/>
    <w:rsid w:val="003B5B7D"/>
    <w:rsid w:val="003B6BFB"/>
    <w:rsid w:val="003B6DDD"/>
    <w:rsid w:val="003C0C0E"/>
    <w:rsid w:val="003C1F11"/>
    <w:rsid w:val="003C1FA5"/>
    <w:rsid w:val="003C489E"/>
    <w:rsid w:val="003C49C2"/>
    <w:rsid w:val="003C4F6B"/>
    <w:rsid w:val="003D1A21"/>
    <w:rsid w:val="003D2A6F"/>
    <w:rsid w:val="003D2E23"/>
    <w:rsid w:val="003D4228"/>
    <w:rsid w:val="003D56EC"/>
    <w:rsid w:val="003D7759"/>
    <w:rsid w:val="003E21C6"/>
    <w:rsid w:val="003E2578"/>
    <w:rsid w:val="003E2886"/>
    <w:rsid w:val="003E2C45"/>
    <w:rsid w:val="003E3A62"/>
    <w:rsid w:val="003E55A3"/>
    <w:rsid w:val="003E62EC"/>
    <w:rsid w:val="003E78B8"/>
    <w:rsid w:val="003F0B72"/>
    <w:rsid w:val="003F205D"/>
    <w:rsid w:val="003F243E"/>
    <w:rsid w:val="003F2D86"/>
    <w:rsid w:val="003F3143"/>
    <w:rsid w:val="003F394B"/>
    <w:rsid w:val="0040026D"/>
    <w:rsid w:val="004029A1"/>
    <w:rsid w:val="00405606"/>
    <w:rsid w:val="004058DD"/>
    <w:rsid w:val="00410738"/>
    <w:rsid w:val="00412DA0"/>
    <w:rsid w:val="00414890"/>
    <w:rsid w:val="00414A63"/>
    <w:rsid w:val="00414A8F"/>
    <w:rsid w:val="00416D47"/>
    <w:rsid w:val="00416DC5"/>
    <w:rsid w:val="004171C3"/>
    <w:rsid w:val="00423C28"/>
    <w:rsid w:val="00427ECD"/>
    <w:rsid w:val="004327E0"/>
    <w:rsid w:val="004335C0"/>
    <w:rsid w:val="004343DA"/>
    <w:rsid w:val="00435C80"/>
    <w:rsid w:val="004364AD"/>
    <w:rsid w:val="00436A9E"/>
    <w:rsid w:val="00436ADD"/>
    <w:rsid w:val="00436CFD"/>
    <w:rsid w:val="00437D14"/>
    <w:rsid w:val="00441EE8"/>
    <w:rsid w:val="0044251A"/>
    <w:rsid w:val="00446A0A"/>
    <w:rsid w:val="00446D76"/>
    <w:rsid w:val="00446DBB"/>
    <w:rsid w:val="00450963"/>
    <w:rsid w:val="00450B2A"/>
    <w:rsid w:val="00450F24"/>
    <w:rsid w:val="00452440"/>
    <w:rsid w:val="004540DF"/>
    <w:rsid w:val="00454197"/>
    <w:rsid w:val="00461641"/>
    <w:rsid w:val="0046284F"/>
    <w:rsid w:val="00463AC4"/>
    <w:rsid w:val="00464EBD"/>
    <w:rsid w:val="00465786"/>
    <w:rsid w:val="0046607C"/>
    <w:rsid w:val="00467A57"/>
    <w:rsid w:val="00470D85"/>
    <w:rsid w:val="004725D1"/>
    <w:rsid w:val="00473133"/>
    <w:rsid w:val="0047584E"/>
    <w:rsid w:val="00475974"/>
    <w:rsid w:val="00477700"/>
    <w:rsid w:val="00480E2C"/>
    <w:rsid w:val="00481E9F"/>
    <w:rsid w:val="00483D46"/>
    <w:rsid w:val="004878B4"/>
    <w:rsid w:val="00490F87"/>
    <w:rsid w:val="004926FF"/>
    <w:rsid w:val="00492B46"/>
    <w:rsid w:val="004934E1"/>
    <w:rsid w:val="00493AE5"/>
    <w:rsid w:val="00493CC3"/>
    <w:rsid w:val="00493CDA"/>
    <w:rsid w:val="004A0746"/>
    <w:rsid w:val="004A2516"/>
    <w:rsid w:val="004A4BAB"/>
    <w:rsid w:val="004A585F"/>
    <w:rsid w:val="004A74E2"/>
    <w:rsid w:val="004B4B78"/>
    <w:rsid w:val="004B7467"/>
    <w:rsid w:val="004B7EA8"/>
    <w:rsid w:val="004C0344"/>
    <w:rsid w:val="004C3006"/>
    <w:rsid w:val="004C5241"/>
    <w:rsid w:val="004C7778"/>
    <w:rsid w:val="004D1C5F"/>
    <w:rsid w:val="004D4F6C"/>
    <w:rsid w:val="004E0BCE"/>
    <w:rsid w:val="004E2ACA"/>
    <w:rsid w:val="004E5D40"/>
    <w:rsid w:val="004E6C65"/>
    <w:rsid w:val="004E6DE7"/>
    <w:rsid w:val="004F44AD"/>
    <w:rsid w:val="004F474D"/>
    <w:rsid w:val="00501BC9"/>
    <w:rsid w:val="00503729"/>
    <w:rsid w:val="00504384"/>
    <w:rsid w:val="0050485C"/>
    <w:rsid w:val="00505D91"/>
    <w:rsid w:val="00505EB0"/>
    <w:rsid w:val="00510345"/>
    <w:rsid w:val="00513A30"/>
    <w:rsid w:val="00515529"/>
    <w:rsid w:val="00516539"/>
    <w:rsid w:val="00516AD4"/>
    <w:rsid w:val="00517BB8"/>
    <w:rsid w:val="0052084A"/>
    <w:rsid w:val="00521501"/>
    <w:rsid w:val="00522EC8"/>
    <w:rsid w:val="0052563E"/>
    <w:rsid w:val="005258D2"/>
    <w:rsid w:val="00534925"/>
    <w:rsid w:val="00534FC4"/>
    <w:rsid w:val="00536636"/>
    <w:rsid w:val="00542C8B"/>
    <w:rsid w:val="00544BC5"/>
    <w:rsid w:val="0054546F"/>
    <w:rsid w:val="0054642E"/>
    <w:rsid w:val="00546C87"/>
    <w:rsid w:val="005518FC"/>
    <w:rsid w:val="00553180"/>
    <w:rsid w:val="00555570"/>
    <w:rsid w:val="00555CBA"/>
    <w:rsid w:val="00566AC4"/>
    <w:rsid w:val="005742C3"/>
    <w:rsid w:val="00576E7E"/>
    <w:rsid w:val="00581446"/>
    <w:rsid w:val="005835CF"/>
    <w:rsid w:val="00585EE5"/>
    <w:rsid w:val="00590A53"/>
    <w:rsid w:val="00595500"/>
    <w:rsid w:val="005955E8"/>
    <w:rsid w:val="005963BE"/>
    <w:rsid w:val="005966BB"/>
    <w:rsid w:val="005967AC"/>
    <w:rsid w:val="005A1818"/>
    <w:rsid w:val="005A1A4F"/>
    <w:rsid w:val="005A2222"/>
    <w:rsid w:val="005A3094"/>
    <w:rsid w:val="005A3D75"/>
    <w:rsid w:val="005A4FE5"/>
    <w:rsid w:val="005A5C3F"/>
    <w:rsid w:val="005A7FCA"/>
    <w:rsid w:val="005B11A9"/>
    <w:rsid w:val="005B2950"/>
    <w:rsid w:val="005C0D05"/>
    <w:rsid w:val="005C6D41"/>
    <w:rsid w:val="005D02A4"/>
    <w:rsid w:val="005D31FC"/>
    <w:rsid w:val="005D4362"/>
    <w:rsid w:val="005D5A4D"/>
    <w:rsid w:val="005E0CF8"/>
    <w:rsid w:val="005E1961"/>
    <w:rsid w:val="005E2A91"/>
    <w:rsid w:val="005E3905"/>
    <w:rsid w:val="005E449A"/>
    <w:rsid w:val="005E4E05"/>
    <w:rsid w:val="005E5452"/>
    <w:rsid w:val="005E7C73"/>
    <w:rsid w:val="005E7E72"/>
    <w:rsid w:val="005F1146"/>
    <w:rsid w:val="005F6525"/>
    <w:rsid w:val="005F7647"/>
    <w:rsid w:val="005F7E62"/>
    <w:rsid w:val="00600EF3"/>
    <w:rsid w:val="006019C0"/>
    <w:rsid w:val="00601EC1"/>
    <w:rsid w:val="00601F41"/>
    <w:rsid w:val="006053CB"/>
    <w:rsid w:val="0060554C"/>
    <w:rsid w:val="00605D29"/>
    <w:rsid w:val="00606621"/>
    <w:rsid w:val="00606F54"/>
    <w:rsid w:val="00607E40"/>
    <w:rsid w:val="00611FBE"/>
    <w:rsid w:val="00613C85"/>
    <w:rsid w:val="00614AC8"/>
    <w:rsid w:val="00616535"/>
    <w:rsid w:val="006200E3"/>
    <w:rsid w:val="00623618"/>
    <w:rsid w:val="00624855"/>
    <w:rsid w:val="0062488E"/>
    <w:rsid w:val="006263E1"/>
    <w:rsid w:val="00626934"/>
    <w:rsid w:val="00627475"/>
    <w:rsid w:val="0063798B"/>
    <w:rsid w:val="00637C4A"/>
    <w:rsid w:val="0064172A"/>
    <w:rsid w:val="00641B20"/>
    <w:rsid w:val="00644DD1"/>
    <w:rsid w:val="0064535C"/>
    <w:rsid w:val="00647BFC"/>
    <w:rsid w:val="006536D7"/>
    <w:rsid w:val="006546A3"/>
    <w:rsid w:val="00656119"/>
    <w:rsid w:val="00660433"/>
    <w:rsid w:val="00661013"/>
    <w:rsid w:val="00662DA7"/>
    <w:rsid w:val="00662E22"/>
    <w:rsid w:val="00664695"/>
    <w:rsid w:val="00665CD1"/>
    <w:rsid w:val="00667166"/>
    <w:rsid w:val="00670D09"/>
    <w:rsid w:val="00672626"/>
    <w:rsid w:val="00672F4D"/>
    <w:rsid w:val="0067389F"/>
    <w:rsid w:val="006749E0"/>
    <w:rsid w:val="006749E8"/>
    <w:rsid w:val="00677756"/>
    <w:rsid w:val="00681829"/>
    <w:rsid w:val="00682126"/>
    <w:rsid w:val="006850F4"/>
    <w:rsid w:val="00685C8A"/>
    <w:rsid w:val="0069014D"/>
    <w:rsid w:val="00693C26"/>
    <w:rsid w:val="006A04D4"/>
    <w:rsid w:val="006A32BF"/>
    <w:rsid w:val="006A39F1"/>
    <w:rsid w:val="006A472D"/>
    <w:rsid w:val="006A4B9D"/>
    <w:rsid w:val="006A5155"/>
    <w:rsid w:val="006A607D"/>
    <w:rsid w:val="006A67A3"/>
    <w:rsid w:val="006B07B9"/>
    <w:rsid w:val="006B0FCA"/>
    <w:rsid w:val="006B10CE"/>
    <w:rsid w:val="006B395B"/>
    <w:rsid w:val="006B3EA8"/>
    <w:rsid w:val="006B446C"/>
    <w:rsid w:val="006B4BFC"/>
    <w:rsid w:val="006C4315"/>
    <w:rsid w:val="006C5FCF"/>
    <w:rsid w:val="006C6279"/>
    <w:rsid w:val="006D27EA"/>
    <w:rsid w:val="006D45E2"/>
    <w:rsid w:val="006D59E3"/>
    <w:rsid w:val="006D5BCC"/>
    <w:rsid w:val="006D5DCB"/>
    <w:rsid w:val="006E1B46"/>
    <w:rsid w:val="006E3368"/>
    <w:rsid w:val="006E3AA9"/>
    <w:rsid w:val="006E4CEA"/>
    <w:rsid w:val="006E52E9"/>
    <w:rsid w:val="006E6E1E"/>
    <w:rsid w:val="006F05AB"/>
    <w:rsid w:val="006F2F92"/>
    <w:rsid w:val="006F5454"/>
    <w:rsid w:val="006F7373"/>
    <w:rsid w:val="007010A4"/>
    <w:rsid w:val="00701ED3"/>
    <w:rsid w:val="00703B44"/>
    <w:rsid w:val="00703EF4"/>
    <w:rsid w:val="00706CA0"/>
    <w:rsid w:val="0071139C"/>
    <w:rsid w:val="00713213"/>
    <w:rsid w:val="0071691B"/>
    <w:rsid w:val="00716C35"/>
    <w:rsid w:val="00721360"/>
    <w:rsid w:val="007266F5"/>
    <w:rsid w:val="007278B3"/>
    <w:rsid w:val="00727C34"/>
    <w:rsid w:val="00733371"/>
    <w:rsid w:val="00733E90"/>
    <w:rsid w:val="00735172"/>
    <w:rsid w:val="00735F14"/>
    <w:rsid w:val="00736AFE"/>
    <w:rsid w:val="00737618"/>
    <w:rsid w:val="00737DC2"/>
    <w:rsid w:val="0074056A"/>
    <w:rsid w:val="007418F2"/>
    <w:rsid w:val="00741B3C"/>
    <w:rsid w:val="00742C8A"/>
    <w:rsid w:val="007435CA"/>
    <w:rsid w:val="00751CB9"/>
    <w:rsid w:val="007522DB"/>
    <w:rsid w:val="00752B16"/>
    <w:rsid w:val="007530E9"/>
    <w:rsid w:val="00756C7A"/>
    <w:rsid w:val="00757A00"/>
    <w:rsid w:val="00757B2F"/>
    <w:rsid w:val="00762BF1"/>
    <w:rsid w:val="0076409E"/>
    <w:rsid w:val="00764612"/>
    <w:rsid w:val="0076542F"/>
    <w:rsid w:val="00765CC7"/>
    <w:rsid w:val="00765F0F"/>
    <w:rsid w:val="00771728"/>
    <w:rsid w:val="007723DA"/>
    <w:rsid w:val="007776F7"/>
    <w:rsid w:val="00780382"/>
    <w:rsid w:val="00782E42"/>
    <w:rsid w:val="0078423C"/>
    <w:rsid w:val="00786BF5"/>
    <w:rsid w:val="007903C8"/>
    <w:rsid w:val="007908A7"/>
    <w:rsid w:val="007916C2"/>
    <w:rsid w:val="007937D0"/>
    <w:rsid w:val="00794AB9"/>
    <w:rsid w:val="00795E68"/>
    <w:rsid w:val="007A09FD"/>
    <w:rsid w:val="007A15FF"/>
    <w:rsid w:val="007A25CE"/>
    <w:rsid w:val="007A5E8B"/>
    <w:rsid w:val="007B4B97"/>
    <w:rsid w:val="007B68EC"/>
    <w:rsid w:val="007B701A"/>
    <w:rsid w:val="007B76C9"/>
    <w:rsid w:val="007C16DE"/>
    <w:rsid w:val="007C349A"/>
    <w:rsid w:val="007C4FA2"/>
    <w:rsid w:val="007C744B"/>
    <w:rsid w:val="007C7854"/>
    <w:rsid w:val="007C7E2F"/>
    <w:rsid w:val="007C7F8C"/>
    <w:rsid w:val="007D2D20"/>
    <w:rsid w:val="007D54A6"/>
    <w:rsid w:val="007E00D7"/>
    <w:rsid w:val="007E0587"/>
    <w:rsid w:val="007E0F66"/>
    <w:rsid w:val="007E2004"/>
    <w:rsid w:val="007E24E2"/>
    <w:rsid w:val="007E3935"/>
    <w:rsid w:val="007E6E52"/>
    <w:rsid w:val="007F5634"/>
    <w:rsid w:val="007F67B0"/>
    <w:rsid w:val="007F77ED"/>
    <w:rsid w:val="00803816"/>
    <w:rsid w:val="00804900"/>
    <w:rsid w:val="00804D2D"/>
    <w:rsid w:val="00806418"/>
    <w:rsid w:val="008067B8"/>
    <w:rsid w:val="00807AB0"/>
    <w:rsid w:val="00810EF9"/>
    <w:rsid w:val="00812056"/>
    <w:rsid w:val="00816C68"/>
    <w:rsid w:val="00823FE7"/>
    <w:rsid w:val="00826EC8"/>
    <w:rsid w:val="0083691C"/>
    <w:rsid w:val="00836BC0"/>
    <w:rsid w:val="00837E21"/>
    <w:rsid w:val="00841AA5"/>
    <w:rsid w:val="00846560"/>
    <w:rsid w:val="0084699D"/>
    <w:rsid w:val="00850575"/>
    <w:rsid w:val="008506E9"/>
    <w:rsid w:val="00851F34"/>
    <w:rsid w:val="0086160D"/>
    <w:rsid w:val="00865324"/>
    <w:rsid w:val="008656A2"/>
    <w:rsid w:val="00865A5E"/>
    <w:rsid w:val="00870BEA"/>
    <w:rsid w:val="00871B98"/>
    <w:rsid w:val="008739C2"/>
    <w:rsid w:val="00876C10"/>
    <w:rsid w:val="0088015C"/>
    <w:rsid w:val="008845BC"/>
    <w:rsid w:val="00886EB5"/>
    <w:rsid w:val="00887A23"/>
    <w:rsid w:val="0089031D"/>
    <w:rsid w:val="008918D8"/>
    <w:rsid w:val="008A25B4"/>
    <w:rsid w:val="008A7359"/>
    <w:rsid w:val="008B13CB"/>
    <w:rsid w:val="008B3D32"/>
    <w:rsid w:val="008B4163"/>
    <w:rsid w:val="008B4F4C"/>
    <w:rsid w:val="008B5DBE"/>
    <w:rsid w:val="008B640D"/>
    <w:rsid w:val="008C01B8"/>
    <w:rsid w:val="008C1547"/>
    <w:rsid w:val="008C2BEA"/>
    <w:rsid w:val="008C417F"/>
    <w:rsid w:val="008C5756"/>
    <w:rsid w:val="008D038F"/>
    <w:rsid w:val="008D2F2C"/>
    <w:rsid w:val="008D467D"/>
    <w:rsid w:val="008D7BA5"/>
    <w:rsid w:val="008E0D10"/>
    <w:rsid w:val="008E25C2"/>
    <w:rsid w:val="008E2C37"/>
    <w:rsid w:val="008E391E"/>
    <w:rsid w:val="008E4602"/>
    <w:rsid w:val="008E66D3"/>
    <w:rsid w:val="008F1C33"/>
    <w:rsid w:val="008F21AB"/>
    <w:rsid w:val="008F491B"/>
    <w:rsid w:val="008F7471"/>
    <w:rsid w:val="00900C25"/>
    <w:rsid w:val="00906656"/>
    <w:rsid w:val="00913BB4"/>
    <w:rsid w:val="00916AB1"/>
    <w:rsid w:val="00916B4A"/>
    <w:rsid w:val="00916CAD"/>
    <w:rsid w:val="00923A17"/>
    <w:rsid w:val="00925E63"/>
    <w:rsid w:val="00930826"/>
    <w:rsid w:val="00931196"/>
    <w:rsid w:val="00932CA5"/>
    <w:rsid w:val="00933445"/>
    <w:rsid w:val="0093599A"/>
    <w:rsid w:val="00940FCB"/>
    <w:rsid w:val="00941C82"/>
    <w:rsid w:val="00941DDF"/>
    <w:rsid w:val="0094341F"/>
    <w:rsid w:val="009437B3"/>
    <w:rsid w:val="00943CB4"/>
    <w:rsid w:val="009443FB"/>
    <w:rsid w:val="00945645"/>
    <w:rsid w:val="00945C95"/>
    <w:rsid w:val="00950300"/>
    <w:rsid w:val="0095161D"/>
    <w:rsid w:val="00951EC8"/>
    <w:rsid w:val="00953879"/>
    <w:rsid w:val="0095480E"/>
    <w:rsid w:val="00956D31"/>
    <w:rsid w:val="00960A2F"/>
    <w:rsid w:val="0096254F"/>
    <w:rsid w:val="009669D2"/>
    <w:rsid w:val="00971D2D"/>
    <w:rsid w:val="00974DBD"/>
    <w:rsid w:val="00975210"/>
    <w:rsid w:val="0097636B"/>
    <w:rsid w:val="00980AEB"/>
    <w:rsid w:val="00982FEC"/>
    <w:rsid w:val="00984F93"/>
    <w:rsid w:val="00985E9A"/>
    <w:rsid w:val="00986360"/>
    <w:rsid w:val="009865D9"/>
    <w:rsid w:val="00986C25"/>
    <w:rsid w:val="00990EAE"/>
    <w:rsid w:val="009913CC"/>
    <w:rsid w:val="00991951"/>
    <w:rsid w:val="00992228"/>
    <w:rsid w:val="009966D8"/>
    <w:rsid w:val="00997582"/>
    <w:rsid w:val="009A5703"/>
    <w:rsid w:val="009A7A10"/>
    <w:rsid w:val="009B06B7"/>
    <w:rsid w:val="009B0A47"/>
    <w:rsid w:val="009B2125"/>
    <w:rsid w:val="009B2365"/>
    <w:rsid w:val="009B2369"/>
    <w:rsid w:val="009B3085"/>
    <w:rsid w:val="009B39DE"/>
    <w:rsid w:val="009B6940"/>
    <w:rsid w:val="009C1748"/>
    <w:rsid w:val="009C6697"/>
    <w:rsid w:val="009C7A7C"/>
    <w:rsid w:val="009D00A8"/>
    <w:rsid w:val="009D08FE"/>
    <w:rsid w:val="009D1BB1"/>
    <w:rsid w:val="009D2101"/>
    <w:rsid w:val="009D26FE"/>
    <w:rsid w:val="009D2F3E"/>
    <w:rsid w:val="009D312F"/>
    <w:rsid w:val="009D3F95"/>
    <w:rsid w:val="009E0F30"/>
    <w:rsid w:val="009E5395"/>
    <w:rsid w:val="009F067A"/>
    <w:rsid w:val="009F1949"/>
    <w:rsid w:val="009F5E53"/>
    <w:rsid w:val="009F7104"/>
    <w:rsid w:val="009F7D3A"/>
    <w:rsid w:val="00A00522"/>
    <w:rsid w:val="00A04957"/>
    <w:rsid w:val="00A04BDF"/>
    <w:rsid w:val="00A06BA6"/>
    <w:rsid w:val="00A06E89"/>
    <w:rsid w:val="00A11059"/>
    <w:rsid w:val="00A1391D"/>
    <w:rsid w:val="00A1569B"/>
    <w:rsid w:val="00A15926"/>
    <w:rsid w:val="00A1759A"/>
    <w:rsid w:val="00A219E6"/>
    <w:rsid w:val="00A21E48"/>
    <w:rsid w:val="00A24AE7"/>
    <w:rsid w:val="00A32C60"/>
    <w:rsid w:val="00A34D08"/>
    <w:rsid w:val="00A40B80"/>
    <w:rsid w:val="00A42B82"/>
    <w:rsid w:val="00A43687"/>
    <w:rsid w:val="00A4623D"/>
    <w:rsid w:val="00A50409"/>
    <w:rsid w:val="00A506C6"/>
    <w:rsid w:val="00A516C1"/>
    <w:rsid w:val="00A5194B"/>
    <w:rsid w:val="00A53592"/>
    <w:rsid w:val="00A53716"/>
    <w:rsid w:val="00A5546A"/>
    <w:rsid w:val="00A564F9"/>
    <w:rsid w:val="00A57B70"/>
    <w:rsid w:val="00A61C3B"/>
    <w:rsid w:val="00A62FDC"/>
    <w:rsid w:val="00A64A4C"/>
    <w:rsid w:val="00A7018C"/>
    <w:rsid w:val="00A71190"/>
    <w:rsid w:val="00A73917"/>
    <w:rsid w:val="00A7449B"/>
    <w:rsid w:val="00A77BC2"/>
    <w:rsid w:val="00A81971"/>
    <w:rsid w:val="00A81E76"/>
    <w:rsid w:val="00A81F1E"/>
    <w:rsid w:val="00A8348A"/>
    <w:rsid w:val="00A8402C"/>
    <w:rsid w:val="00A85C2F"/>
    <w:rsid w:val="00A87328"/>
    <w:rsid w:val="00A90234"/>
    <w:rsid w:val="00A9358D"/>
    <w:rsid w:val="00A95BCD"/>
    <w:rsid w:val="00A96DC3"/>
    <w:rsid w:val="00A97431"/>
    <w:rsid w:val="00AA53FD"/>
    <w:rsid w:val="00AA607F"/>
    <w:rsid w:val="00AA680C"/>
    <w:rsid w:val="00AB2F16"/>
    <w:rsid w:val="00AB5CE4"/>
    <w:rsid w:val="00AC0E15"/>
    <w:rsid w:val="00AC3677"/>
    <w:rsid w:val="00AC5F83"/>
    <w:rsid w:val="00AC643D"/>
    <w:rsid w:val="00AC6E59"/>
    <w:rsid w:val="00AC794A"/>
    <w:rsid w:val="00AD0B8B"/>
    <w:rsid w:val="00AD25D6"/>
    <w:rsid w:val="00AD2616"/>
    <w:rsid w:val="00AD4C61"/>
    <w:rsid w:val="00AD6048"/>
    <w:rsid w:val="00AD6C99"/>
    <w:rsid w:val="00AD7BE4"/>
    <w:rsid w:val="00AE0B38"/>
    <w:rsid w:val="00AE150A"/>
    <w:rsid w:val="00AE20FD"/>
    <w:rsid w:val="00AE6650"/>
    <w:rsid w:val="00AE6AEA"/>
    <w:rsid w:val="00AE7B7D"/>
    <w:rsid w:val="00AE7EA8"/>
    <w:rsid w:val="00AF14DA"/>
    <w:rsid w:val="00AF42F4"/>
    <w:rsid w:val="00AF5ADF"/>
    <w:rsid w:val="00AF77CD"/>
    <w:rsid w:val="00AF7E7C"/>
    <w:rsid w:val="00B003CE"/>
    <w:rsid w:val="00B00D3E"/>
    <w:rsid w:val="00B01ADD"/>
    <w:rsid w:val="00B02FE9"/>
    <w:rsid w:val="00B0348E"/>
    <w:rsid w:val="00B03DBF"/>
    <w:rsid w:val="00B076E3"/>
    <w:rsid w:val="00B07C24"/>
    <w:rsid w:val="00B10FA2"/>
    <w:rsid w:val="00B1141B"/>
    <w:rsid w:val="00B1235B"/>
    <w:rsid w:val="00B1411F"/>
    <w:rsid w:val="00B148C8"/>
    <w:rsid w:val="00B1701B"/>
    <w:rsid w:val="00B20323"/>
    <w:rsid w:val="00B2061D"/>
    <w:rsid w:val="00B220DB"/>
    <w:rsid w:val="00B226A3"/>
    <w:rsid w:val="00B22756"/>
    <w:rsid w:val="00B24D49"/>
    <w:rsid w:val="00B2748B"/>
    <w:rsid w:val="00B27F6D"/>
    <w:rsid w:val="00B3050D"/>
    <w:rsid w:val="00B30941"/>
    <w:rsid w:val="00B33722"/>
    <w:rsid w:val="00B33D6E"/>
    <w:rsid w:val="00B34851"/>
    <w:rsid w:val="00B36AB9"/>
    <w:rsid w:val="00B37DAC"/>
    <w:rsid w:val="00B37F3D"/>
    <w:rsid w:val="00B41D8A"/>
    <w:rsid w:val="00B42709"/>
    <w:rsid w:val="00B440A8"/>
    <w:rsid w:val="00B454F7"/>
    <w:rsid w:val="00B5099F"/>
    <w:rsid w:val="00B50A34"/>
    <w:rsid w:val="00B53906"/>
    <w:rsid w:val="00B55B93"/>
    <w:rsid w:val="00B57872"/>
    <w:rsid w:val="00B6004B"/>
    <w:rsid w:val="00B6066D"/>
    <w:rsid w:val="00B62222"/>
    <w:rsid w:val="00B64CDF"/>
    <w:rsid w:val="00B66B14"/>
    <w:rsid w:val="00B7198A"/>
    <w:rsid w:val="00B71DB4"/>
    <w:rsid w:val="00B7320B"/>
    <w:rsid w:val="00B74C21"/>
    <w:rsid w:val="00B75DD6"/>
    <w:rsid w:val="00B75E50"/>
    <w:rsid w:val="00B7671E"/>
    <w:rsid w:val="00B77DB2"/>
    <w:rsid w:val="00B800AF"/>
    <w:rsid w:val="00B805D0"/>
    <w:rsid w:val="00B80A46"/>
    <w:rsid w:val="00B86636"/>
    <w:rsid w:val="00B92154"/>
    <w:rsid w:val="00B929E8"/>
    <w:rsid w:val="00B92E61"/>
    <w:rsid w:val="00B975B9"/>
    <w:rsid w:val="00B97699"/>
    <w:rsid w:val="00B97A08"/>
    <w:rsid w:val="00BA11E3"/>
    <w:rsid w:val="00BA6E03"/>
    <w:rsid w:val="00BA710D"/>
    <w:rsid w:val="00BA7A55"/>
    <w:rsid w:val="00BB229D"/>
    <w:rsid w:val="00BB4AF3"/>
    <w:rsid w:val="00BB5754"/>
    <w:rsid w:val="00BB6679"/>
    <w:rsid w:val="00BC0393"/>
    <w:rsid w:val="00BC1FDD"/>
    <w:rsid w:val="00BC2BF2"/>
    <w:rsid w:val="00BC328B"/>
    <w:rsid w:val="00BC3935"/>
    <w:rsid w:val="00BC418E"/>
    <w:rsid w:val="00BC454F"/>
    <w:rsid w:val="00BC4B89"/>
    <w:rsid w:val="00BC570E"/>
    <w:rsid w:val="00BC57AF"/>
    <w:rsid w:val="00BD0EA1"/>
    <w:rsid w:val="00BD4CBF"/>
    <w:rsid w:val="00BD783F"/>
    <w:rsid w:val="00BE29CD"/>
    <w:rsid w:val="00BE3CA9"/>
    <w:rsid w:val="00BE4257"/>
    <w:rsid w:val="00BE5453"/>
    <w:rsid w:val="00BE62D4"/>
    <w:rsid w:val="00BE7070"/>
    <w:rsid w:val="00BF01B8"/>
    <w:rsid w:val="00BF24A2"/>
    <w:rsid w:val="00BF2699"/>
    <w:rsid w:val="00BF7F58"/>
    <w:rsid w:val="00C00B1E"/>
    <w:rsid w:val="00C016A5"/>
    <w:rsid w:val="00C021DD"/>
    <w:rsid w:val="00C033AA"/>
    <w:rsid w:val="00C078C6"/>
    <w:rsid w:val="00C07C80"/>
    <w:rsid w:val="00C10F4F"/>
    <w:rsid w:val="00C12B25"/>
    <w:rsid w:val="00C134F3"/>
    <w:rsid w:val="00C144B6"/>
    <w:rsid w:val="00C14636"/>
    <w:rsid w:val="00C201F4"/>
    <w:rsid w:val="00C206A7"/>
    <w:rsid w:val="00C21AD5"/>
    <w:rsid w:val="00C21D09"/>
    <w:rsid w:val="00C23D50"/>
    <w:rsid w:val="00C244FD"/>
    <w:rsid w:val="00C24AB5"/>
    <w:rsid w:val="00C255D6"/>
    <w:rsid w:val="00C25A4A"/>
    <w:rsid w:val="00C261BB"/>
    <w:rsid w:val="00C268F5"/>
    <w:rsid w:val="00C2696A"/>
    <w:rsid w:val="00C2760F"/>
    <w:rsid w:val="00C32C3F"/>
    <w:rsid w:val="00C343CA"/>
    <w:rsid w:val="00C357CC"/>
    <w:rsid w:val="00C35978"/>
    <w:rsid w:val="00C35FD5"/>
    <w:rsid w:val="00C3750A"/>
    <w:rsid w:val="00C40945"/>
    <w:rsid w:val="00C409BE"/>
    <w:rsid w:val="00C43471"/>
    <w:rsid w:val="00C4420B"/>
    <w:rsid w:val="00C447DC"/>
    <w:rsid w:val="00C457A8"/>
    <w:rsid w:val="00C458ED"/>
    <w:rsid w:val="00C46139"/>
    <w:rsid w:val="00C512FD"/>
    <w:rsid w:val="00C514A4"/>
    <w:rsid w:val="00C565A2"/>
    <w:rsid w:val="00C56F2D"/>
    <w:rsid w:val="00C5770F"/>
    <w:rsid w:val="00C60DAC"/>
    <w:rsid w:val="00C65BC4"/>
    <w:rsid w:val="00C72460"/>
    <w:rsid w:val="00C72585"/>
    <w:rsid w:val="00C74094"/>
    <w:rsid w:val="00C77A74"/>
    <w:rsid w:val="00C77B7B"/>
    <w:rsid w:val="00C81F3D"/>
    <w:rsid w:val="00C87492"/>
    <w:rsid w:val="00C92499"/>
    <w:rsid w:val="00C94A2D"/>
    <w:rsid w:val="00C958AC"/>
    <w:rsid w:val="00C96167"/>
    <w:rsid w:val="00C979E8"/>
    <w:rsid w:val="00C97C99"/>
    <w:rsid w:val="00CA04CF"/>
    <w:rsid w:val="00CA07FA"/>
    <w:rsid w:val="00CA2BFA"/>
    <w:rsid w:val="00CA35F5"/>
    <w:rsid w:val="00CB0ADD"/>
    <w:rsid w:val="00CB2359"/>
    <w:rsid w:val="00CB5684"/>
    <w:rsid w:val="00CB6600"/>
    <w:rsid w:val="00CB72BC"/>
    <w:rsid w:val="00CC1B74"/>
    <w:rsid w:val="00CC5256"/>
    <w:rsid w:val="00CC64A1"/>
    <w:rsid w:val="00CC6D23"/>
    <w:rsid w:val="00CD154E"/>
    <w:rsid w:val="00CD1CF3"/>
    <w:rsid w:val="00CD2C42"/>
    <w:rsid w:val="00CD6EF0"/>
    <w:rsid w:val="00CD70D6"/>
    <w:rsid w:val="00CE19E0"/>
    <w:rsid w:val="00CE502A"/>
    <w:rsid w:val="00CE751F"/>
    <w:rsid w:val="00CE76E4"/>
    <w:rsid w:val="00CF446A"/>
    <w:rsid w:val="00CF72BC"/>
    <w:rsid w:val="00D00C19"/>
    <w:rsid w:val="00D024B3"/>
    <w:rsid w:val="00D02B5F"/>
    <w:rsid w:val="00D0402D"/>
    <w:rsid w:val="00D0614B"/>
    <w:rsid w:val="00D07071"/>
    <w:rsid w:val="00D10D7A"/>
    <w:rsid w:val="00D1435F"/>
    <w:rsid w:val="00D22BBC"/>
    <w:rsid w:val="00D23BFA"/>
    <w:rsid w:val="00D2558C"/>
    <w:rsid w:val="00D34EC9"/>
    <w:rsid w:val="00D34F65"/>
    <w:rsid w:val="00D43E4E"/>
    <w:rsid w:val="00D45339"/>
    <w:rsid w:val="00D46CDF"/>
    <w:rsid w:val="00D47973"/>
    <w:rsid w:val="00D47BBD"/>
    <w:rsid w:val="00D5015A"/>
    <w:rsid w:val="00D51A0D"/>
    <w:rsid w:val="00D52494"/>
    <w:rsid w:val="00D557CE"/>
    <w:rsid w:val="00D55DD3"/>
    <w:rsid w:val="00D5642F"/>
    <w:rsid w:val="00D56C42"/>
    <w:rsid w:val="00D621E0"/>
    <w:rsid w:val="00D642D8"/>
    <w:rsid w:val="00D67814"/>
    <w:rsid w:val="00D67CFF"/>
    <w:rsid w:val="00D70520"/>
    <w:rsid w:val="00D71A14"/>
    <w:rsid w:val="00D71ED4"/>
    <w:rsid w:val="00D7202D"/>
    <w:rsid w:val="00D82762"/>
    <w:rsid w:val="00D831D6"/>
    <w:rsid w:val="00D91B2A"/>
    <w:rsid w:val="00D91BD0"/>
    <w:rsid w:val="00D92AD9"/>
    <w:rsid w:val="00D92F36"/>
    <w:rsid w:val="00D93A87"/>
    <w:rsid w:val="00D94003"/>
    <w:rsid w:val="00D96660"/>
    <w:rsid w:val="00D96B88"/>
    <w:rsid w:val="00D9706A"/>
    <w:rsid w:val="00D97B66"/>
    <w:rsid w:val="00DA0591"/>
    <w:rsid w:val="00DA095A"/>
    <w:rsid w:val="00DA2460"/>
    <w:rsid w:val="00DA35B4"/>
    <w:rsid w:val="00DA43E2"/>
    <w:rsid w:val="00DA6616"/>
    <w:rsid w:val="00DA6BC8"/>
    <w:rsid w:val="00DB1A4B"/>
    <w:rsid w:val="00DB27C1"/>
    <w:rsid w:val="00DB3C9D"/>
    <w:rsid w:val="00DB49C3"/>
    <w:rsid w:val="00DB541C"/>
    <w:rsid w:val="00DB651C"/>
    <w:rsid w:val="00DB718D"/>
    <w:rsid w:val="00DC05EB"/>
    <w:rsid w:val="00DC138B"/>
    <w:rsid w:val="00DC74A6"/>
    <w:rsid w:val="00DC7F5E"/>
    <w:rsid w:val="00DD1F33"/>
    <w:rsid w:val="00DD3661"/>
    <w:rsid w:val="00DD43A8"/>
    <w:rsid w:val="00DD64BF"/>
    <w:rsid w:val="00DD6C08"/>
    <w:rsid w:val="00DE183E"/>
    <w:rsid w:val="00DE1BFD"/>
    <w:rsid w:val="00DE2D05"/>
    <w:rsid w:val="00DE55EE"/>
    <w:rsid w:val="00DE6FB8"/>
    <w:rsid w:val="00DF13AF"/>
    <w:rsid w:val="00DF2E8F"/>
    <w:rsid w:val="00DF6BED"/>
    <w:rsid w:val="00DF7A56"/>
    <w:rsid w:val="00E0036A"/>
    <w:rsid w:val="00E02E57"/>
    <w:rsid w:val="00E02E5D"/>
    <w:rsid w:val="00E04343"/>
    <w:rsid w:val="00E05F2A"/>
    <w:rsid w:val="00E06A58"/>
    <w:rsid w:val="00E07B67"/>
    <w:rsid w:val="00E11263"/>
    <w:rsid w:val="00E12BB6"/>
    <w:rsid w:val="00E1632D"/>
    <w:rsid w:val="00E168D3"/>
    <w:rsid w:val="00E20247"/>
    <w:rsid w:val="00E20D70"/>
    <w:rsid w:val="00E21A27"/>
    <w:rsid w:val="00E23718"/>
    <w:rsid w:val="00E23962"/>
    <w:rsid w:val="00E270B8"/>
    <w:rsid w:val="00E3060E"/>
    <w:rsid w:val="00E31165"/>
    <w:rsid w:val="00E34E26"/>
    <w:rsid w:val="00E352D3"/>
    <w:rsid w:val="00E36EE7"/>
    <w:rsid w:val="00E376D3"/>
    <w:rsid w:val="00E438B0"/>
    <w:rsid w:val="00E45EA5"/>
    <w:rsid w:val="00E517E2"/>
    <w:rsid w:val="00E51DE0"/>
    <w:rsid w:val="00E55C3D"/>
    <w:rsid w:val="00E60DAB"/>
    <w:rsid w:val="00E63382"/>
    <w:rsid w:val="00E64092"/>
    <w:rsid w:val="00E66174"/>
    <w:rsid w:val="00E7003A"/>
    <w:rsid w:val="00E70AE6"/>
    <w:rsid w:val="00E70BC3"/>
    <w:rsid w:val="00E70FC6"/>
    <w:rsid w:val="00E725DF"/>
    <w:rsid w:val="00E73E6C"/>
    <w:rsid w:val="00E844CF"/>
    <w:rsid w:val="00E84AB8"/>
    <w:rsid w:val="00E8530C"/>
    <w:rsid w:val="00E931BD"/>
    <w:rsid w:val="00E9466F"/>
    <w:rsid w:val="00E9519E"/>
    <w:rsid w:val="00EA0CCE"/>
    <w:rsid w:val="00EA1E39"/>
    <w:rsid w:val="00EA28CE"/>
    <w:rsid w:val="00EA3114"/>
    <w:rsid w:val="00EA41AA"/>
    <w:rsid w:val="00EA4A8F"/>
    <w:rsid w:val="00EA4BD0"/>
    <w:rsid w:val="00EA7925"/>
    <w:rsid w:val="00EB027B"/>
    <w:rsid w:val="00EB1234"/>
    <w:rsid w:val="00EB33B0"/>
    <w:rsid w:val="00EC4F1B"/>
    <w:rsid w:val="00ED028F"/>
    <w:rsid w:val="00ED0334"/>
    <w:rsid w:val="00ED0CB8"/>
    <w:rsid w:val="00ED72E9"/>
    <w:rsid w:val="00ED72EC"/>
    <w:rsid w:val="00EE43E6"/>
    <w:rsid w:val="00EE675D"/>
    <w:rsid w:val="00EF0F27"/>
    <w:rsid w:val="00EF4A6F"/>
    <w:rsid w:val="00EF6D41"/>
    <w:rsid w:val="00F03428"/>
    <w:rsid w:val="00F037D5"/>
    <w:rsid w:val="00F03862"/>
    <w:rsid w:val="00F0564B"/>
    <w:rsid w:val="00F11829"/>
    <w:rsid w:val="00F164A9"/>
    <w:rsid w:val="00F17AAA"/>
    <w:rsid w:val="00F2085B"/>
    <w:rsid w:val="00F21949"/>
    <w:rsid w:val="00F24987"/>
    <w:rsid w:val="00F278C3"/>
    <w:rsid w:val="00F3745B"/>
    <w:rsid w:val="00F37D5E"/>
    <w:rsid w:val="00F37F6C"/>
    <w:rsid w:val="00F40CC9"/>
    <w:rsid w:val="00F44054"/>
    <w:rsid w:val="00F443BF"/>
    <w:rsid w:val="00F463EE"/>
    <w:rsid w:val="00F50173"/>
    <w:rsid w:val="00F56C67"/>
    <w:rsid w:val="00F61E67"/>
    <w:rsid w:val="00F6457E"/>
    <w:rsid w:val="00F646B2"/>
    <w:rsid w:val="00F656AA"/>
    <w:rsid w:val="00F657DF"/>
    <w:rsid w:val="00F65909"/>
    <w:rsid w:val="00F67775"/>
    <w:rsid w:val="00F7191F"/>
    <w:rsid w:val="00F721BA"/>
    <w:rsid w:val="00F72A90"/>
    <w:rsid w:val="00F73EE8"/>
    <w:rsid w:val="00F77E1E"/>
    <w:rsid w:val="00F80A65"/>
    <w:rsid w:val="00F825D8"/>
    <w:rsid w:val="00F82B9A"/>
    <w:rsid w:val="00F907B6"/>
    <w:rsid w:val="00F9133E"/>
    <w:rsid w:val="00F9134E"/>
    <w:rsid w:val="00F93C45"/>
    <w:rsid w:val="00F94F7E"/>
    <w:rsid w:val="00F96D96"/>
    <w:rsid w:val="00F974CF"/>
    <w:rsid w:val="00FA08C1"/>
    <w:rsid w:val="00FA0CAE"/>
    <w:rsid w:val="00FA2417"/>
    <w:rsid w:val="00FA3330"/>
    <w:rsid w:val="00FA34FB"/>
    <w:rsid w:val="00FA44F3"/>
    <w:rsid w:val="00FB0D3A"/>
    <w:rsid w:val="00FB153F"/>
    <w:rsid w:val="00FB1768"/>
    <w:rsid w:val="00FB1AF0"/>
    <w:rsid w:val="00FB2487"/>
    <w:rsid w:val="00FB29C4"/>
    <w:rsid w:val="00FB7ED5"/>
    <w:rsid w:val="00FC1F23"/>
    <w:rsid w:val="00FC3A25"/>
    <w:rsid w:val="00FC3FF8"/>
    <w:rsid w:val="00FC7199"/>
    <w:rsid w:val="00FD3336"/>
    <w:rsid w:val="00FD6C5D"/>
    <w:rsid w:val="00FD732A"/>
    <w:rsid w:val="00FD77C0"/>
    <w:rsid w:val="00FE336E"/>
    <w:rsid w:val="00FE3C91"/>
    <w:rsid w:val="00FE48B5"/>
    <w:rsid w:val="00FE5DA4"/>
    <w:rsid w:val="00FE7396"/>
    <w:rsid w:val="00FF0B66"/>
    <w:rsid w:val="00FF390B"/>
    <w:rsid w:val="00FF6BA2"/>
    <w:rsid w:val="01FA1D81"/>
    <w:rsid w:val="02335D25"/>
    <w:rsid w:val="03E3436E"/>
    <w:rsid w:val="04F97B84"/>
    <w:rsid w:val="056D3810"/>
    <w:rsid w:val="05812B41"/>
    <w:rsid w:val="08FE6F37"/>
    <w:rsid w:val="09E14DD8"/>
    <w:rsid w:val="0A32384D"/>
    <w:rsid w:val="0A763ADF"/>
    <w:rsid w:val="0A796041"/>
    <w:rsid w:val="0E864717"/>
    <w:rsid w:val="101D1B7D"/>
    <w:rsid w:val="114523E5"/>
    <w:rsid w:val="12852B41"/>
    <w:rsid w:val="13C863A0"/>
    <w:rsid w:val="14305E5E"/>
    <w:rsid w:val="1494129E"/>
    <w:rsid w:val="15567B46"/>
    <w:rsid w:val="15C40F54"/>
    <w:rsid w:val="18BC0B17"/>
    <w:rsid w:val="18D8352E"/>
    <w:rsid w:val="193D3387"/>
    <w:rsid w:val="19A406B7"/>
    <w:rsid w:val="1ABD5E94"/>
    <w:rsid w:val="1B9773B7"/>
    <w:rsid w:val="1BC53330"/>
    <w:rsid w:val="1C7C30AE"/>
    <w:rsid w:val="1E0B2B5B"/>
    <w:rsid w:val="1EB3600A"/>
    <w:rsid w:val="1F504C93"/>
    <w:rsid w:val="1F6B4067"/>
    <w:rsid w:val="204C3C05"/>
    <w:rsid w:val="210835BC"/>
    <w:rsid w:val="2139565A"/>
    <w:rsid w:val="234359E1"/>
    <w:rsid w:val="23EB7A77"/>
    <w:rsid w:val="251C2AE9"/>
    <w:rsid w:val="272C16AC"/>
    <w:rsid w:val="27C13545"/>
    <w:rsid w:val="2D4B5CAA"/>
    <w:rsid w:val="2E9F0DC9"/>
    <w:rsid w:val="2F391D83"/>
    <w:rsid w:val="30FB1BBB"/>
    <w:rsid w:val="320D7387"/>
    <w:rsid w:val="336E0A63"/>
    <w:rsid w:val="339A2E9C"/>
    <w:rsid w:val="33FB6DEF"/>
    <w:rsid w:val="358056FA"/>
    <w:rsid w:val="35BD4DE1"/>
    <w:rsid w:val="370A0339"/>
    <w:rsid w:val="381046B6"/>
    <w:rsid w:val="39A10F95"/>
    <w:rsid w:val="3A863DDB"/>
    <w:rsid w:val="3AD1597E"/>
    <w:rsid w:val="3AD6435E"/>
    <w:rsid w:val="3BED2703"/>
    <w:rsid w:val="3C73398B"/>
    <w:rsid w:val="3E8F7AA2"/>
    <w:rsid w:val="3F9D125E"/>
    <w:rsid w:val="401E4BD8"/>
    <w:rsid w:val="40357225"/>
    <w:rsid w:val="42BB1199"/>
    <w:rsid w:val="42DE4792"/>
    <w:rsid w:val="43C44E00"/>
    <w:rsid w:val="45966DFC"/>
    <w:rsid w:val="469366BA"/>
    <w:rsid w:val="48EC789E"/>
    <w:rsid w:val="4A961B33"/>
    <w:rsid w:val="4C2C7186"/>
    <w:rsid w:val="4D64659D"/>
    <w:rsid w:val="50285825"/>
    <w:rsid w:val="505620F6"/>
    <w:rsid w:val="5119769F"/>
    <w:rsid w:val="51A44913"/>
    <w:rsid w:val="520A3DA5"/>
    <w:rsid w:val="52602B60"/>
    <w:rsid w:val="53D915C4"/>
    <w:rsid w:val="542B7877"/>
    <w:rsid w:val="544748A8"/>
    <w:rsid w:val="56B13FC4"/>
    <w:rsid w:val="56BF4844"/>
    <w:rsid w:val="59097FF9"/>
    <w:rsid w:val="5993575C"/>
    <w:rsid w:val="5A9C7AE4"/>
    <w:rsid w:val="5E4005EC"/>
    <w:rsid w:val="6120239E"/>
    <w:rsid w:val="623B4E4B"/>
    <w:rsid w:val="64A530D4"/>
    <w:rsid w:val="65393E9A"/>
    <w:rsid w:val="658E28EE"/>
    <w:rsid w:val="65D76F2D"/>
    <w:rsid w:val="663012BB"/>
    <w:rsid w:val="6804655B"/>
    <w:rsid w:val="6B2B6ED9"/>
    <w:rsid w:val="6B7D650E"/>
    <w:rsid w:val="6C094140"/>
    <w:rsid w:val="6D5749E0"/>
    <w:rsid w:val="6D8D19D5"/>
    <w:rsid w:val="6D8F40B8"/>
    <w:rsid w:val="6E8675B7"/>
    <w:rsid w:val="6F5C4ECE"/>
    <w:rsid w:val="6F6D2BDD"/>
    <w:rsid w:val="70026563"/>
    <w:rsid w:val="700D56FF"/>
    <w:rsid w:val="707E7F1A"/>
    <w:rsid w:val="74B82BA7"/>
    <w:rsid w:val="74D66E29"/>
    <w:rsid w:val="766C5613"/>
    <w:rsid w:val="784B547B"/>
    <w:rsid w:val="787E6100"/>
    <w:rsid w:val="78D2540E"/>
    <w:rsid w:val="78E94FDC"/>
    <w:rsid w:val="795A247F"/>
    <w:rsid w:val="79A21910"/>
    <w:rsid w:val="7A8432B6"/>
    <w:rsid w:val="7A9043C4"/>
    <w:rsid w:val="7B7500DE"/>
    <w:rsid w:val="7C9452EB"/>
    <w:rsid w:val="7D852FDE"/>
    <w:rsid w:val="7E8B0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spacing w:after="80"/>
      <w:jc w:val="both"/>
    </w:pPr>
    <w:rPr>
      <w:kern w:val="0"/>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4"/>
    <w:autoRedefine/>
    <w:qFormat/>
    <w:uiPriority w:val="99"/>
    <w:rPr>
      <w:sz w:val="18"/>
      <w:szCs w:val="18"/>
    </w:rPr>
  </w:style>
  <w:style w:type="character" w:customStyle="1" w:styleId="10">
    <w:name w:val="页脚 字符"/>
    <w:basedOn w:val="8"/>
    <w:link w:val="3"/>
    <w:autoRedefine/>
    <w:qFormat/>
    <w:uiPriority w:val="99"/>
    <w:rPr>
      <w:sz w:val="18"/>
      <w:szCs w:val="18"/>
    </w:rPr>
  </w:style>
  <w:style w:type="paragraph" w:customStyle="1" w:styleId="11">
    <w:name w:val="段"/>
    <w:link w:val="12"/>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0"/>
      <w:lang w:val="en-US" w:eastAsia="zh-CN" w:bidi="ar-SA"/>
    </w:rPr>
  </w:style>
  <w:style w:type="character" w:customStyle="1" w:styleId="12">
    <w:name w:val="段 Char"/>
    <w:link w:val="11"/>
    <w:autoRedefine/>
    <w:qFormat/>
    <w:uiPriority w:val="0"/>
    <w:rPr>
      <w:rFonts w:ascii="宋体" w:hAnsi="Calibri" w:eastAsia="宋体" w:cs="Times New Roman"/>
      <w:kern w:val="0"/>
      <w:szCs w:val="20"/>
    </w:rPr>
  </w:style>
  <w:style w:type="paragraph" w:customStyle="1" w:styleId="1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4">
    <w:name w:val="List Paragraph"/>
    <w:basedOn w:val="1"/>
    <w:qFormat/>
    <w:uiPriority w:val="34"/>
    <w:pPr>
      <w:ind w:firstLine="420" w:firstLineChars="200"/>
    </w:pPr>
  </w:style>
  <w:style w:type="paragraph" w:customStyle="1" w:styleId="15">
    <w:name w:val="一级条标题"/>
    <w:next w:val="11"/>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二级条标题"/>
    <w:basedOn w:val="15"/>
    <w:next w:val="11"/>
    <w:autoRedefine/>
    <w:qFormat/>
    <w:uiPriority w:val="0"/>
    <w:pPr>
      <w:numPr>
        <w:ilvl w:val="2"/>
        <w:numId w:val="2"/>
      </w:numPr>
      <w:spacing w:before="50" w:after="50"/>
      <w:outlineLvl w:val="3"/>
    </w:pPr>
  </w:style>
  <w:style w:type="paragraph" w:customStyle="1" w:styleId="17">
    <w:name w:val="章标题"/>
    <w:next w:val="11"/>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22&#23567;&#31859;\&#25968;&#25454;&#27719;&#24635;&#20998;&#26512;\2022&#23567;&#31859;&#25968;&#25454;&#27719;&#24635;(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4037;&#20316;\22&#23567;&#31859;\&#25968;&#25454;&#27719;&#24635;&#20998;&#26512;\2022&#23567;&#31859;&#25968;&#25454;&#27719;&#24635;(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4037;&#20316;\22&#23567;&#31859;\&#25968;&#25454;&#27719;&#24635;&#20998;&#26512;\2022&#23567;&#31859;&#25968;&#25454;&#27719;&#24635;(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4037;&#20316;\22&#23567;&#31859;\&#25968;&#25454;&#27719;&#24635;&#20998;&#26512;\2022&#23567;&#31859;&#25968;&#25454;&#27719;&#24635;(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4037;&#20316;\22&#23567;&#31859;\&#25968;&#25454;&#27719;&#24635;&#20998;&#26512;\2022&#23567;&#31859;&#25968;&#25454;&#27719;&#24635;(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基础品质指标</a:t>
            </a:r>
            <a:endParaRPr lang="zh-CN" altLang="en-US"/>
          </a:p>
        </c:rich>
      </c:tx>
      <c:layout/>
      <c:overlay val="0"/>
      <c:spPr>
        <a:noFill/>
        <a:ln>
          <a:noFill/>
        </a:ln>
        <a:effectLst/>
      </c:spPr>
    </c:title>
    <c:autoTitleDeleted val="0"/>
    <c:plotArea>
      <c:layout/>
      <c:barChart>
        <c:barDir val="col"/>
        <c:grouping val="clustered"/>
        <c:varyColors val="0"/>
        <c:ser>
          <c:idx val="0"/>
          <c:order val="0"/>
          <c:tx>
            <c:strRef>
              <c:f>基础指标!$R$4</c:f>
              <c:strCache>
                <c:ptCount val="1"/>
                <c:pt idx="0">
                  <c:v>清水河县</c:v>
                </c:pt>
              </c:strCache>
            </c:strRef>
          </c:tx>
          <c:spPr>
            <a:solidFill>
              <a:schemeClr val="accent1"/>
            </a:solidFill>
            <a:ln>
              <a:noFill/>
            </a:ln>
            <a:effectLst/>
          </c:spPr>
          <c:invertIfNegative val="0"/>
          <c:dLbls>
            <c:delete val="1"/>
          </c:dLbls>
          <c:errBars>
            <c:errBarType val="both"/>
            <c:errValType val="cust"/>
            <c:noEndCap val="0"/>
            <c:plus>
              <c:numRef>
                <c:f>基础指标!$S$12:$S$18</c:f>
                <c:numCache>
                  <c:formatCode>General</c:formatCode>
                  <c:ptCount val="7"/>
                  <c:pt idx="0">
                    <c:v>1.50946652675781</c:v>
                  </c:pt>
                  <c:pt idx="1">
                    <c:v>1.1812371104529</c:v>
                  </c:pt>
                  <c:pt idx="2">
                    <c:v>1.49667534798294</c:v>
                  </c:pt>
                  <c:pt idx="3">
                    <c:v>1.320374105236</c:v>
                  </c:pt>
                  <c:pt idx="4">
                    <c:v>0.853304687019173</c:v>
                  </c:pt>
                  <c:pt idx="5">
                    <c:v>0.843824626329428</c:v>
                  </c:pt>
                  <c:pt idx="6">
                    <c:v>1.002349088183</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基础指标!$S$4:$W$4</c:f>
              <c:numCache>
                <c:formatCode>###0.00</c:formatCode>
                <c:ptCount val="5"/>
                <c:pt idx="0">
                  <c:v>10.9006666666667</c:v>
                </c:pt>
                <c:pt idx="1">
                  <c:v>2.25573333333333</c:v>
                </c:pt>
                <c:pt idx="2">
                  <c:v>10.078</c:v>
                </c:pt>
                <c:pt idx="3">
                  <c:v>6.97805</c:v>
                </c:pt>
                <c:pt idx="4">
                  <c:v>22.939</c:v>
                </c:pt>
              </c:numCache>
            </c:numRef>
          </c:val>
        </c:ser>
        <c:ser>
          <c:idx val="1"/>
          <c:order val="1"/>
          <c:tx>
            <c:strRef>
              <c:f>基础指标!$R$5</c:f>
              <c:strCache>
                <c:ptCount val="1"/>
                <c:pt idx="0">
                  <c:v>准格尔旗</c:v>
                </c:pt>
              </c:strCache>
            </c:strRef>
          </c:tx>
          <c:spPr>
            <a:solidFill>
              <a:schemeClr val="accent2"/>
            </a:solidFill>
            <a:ln>
              <a:noFill/>
            </a:ln>
            <a:effectLst/>
          </c:spPr>
          <c:invertIfNegative val="0"/>
          <c:dLbls>
            <c:delete val="1"/>
          </c:dLbls>
          <c:errBars>
            <c:errBarType val="both"/>
            <c:errValType val="cust"/>
            <c:noEndCap val="0"/>
            <c:plus>
              <c:numRef>
                <c:f>基础指标!$T$12:$T$18</c:f>
                <c:numCache>
                  <c:formatCode>General</c:formatCode>
                  <c:ptCount val="7"/>
                  <c:pt idx="0">
                    <c:v>0.584863021589661</c:v>
                  </c:pt>
                  <c:pt idx="1">
                    <c:v>0.766089637923222</c:v>
                  </c:pt>
                  <c:pt idx="2">
                    <c:v>0.74403898577002</c:v>
                  </c:pt>
                  <c:pt idx="3">
                    <c:v>1.21532231664416</c:v>
                  </c:pt>
                  <c:pt idx="4">
                    <c:v>0.470011820182335</c:v>
                  </c:pt>
                  <c:pt idx="5">
                    <c:v>0.698697427530755</c:v>
                  </c:pt>
                  <c:pt idx="6">
                    <c:v>0.827487745153635</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基础指标!$S$5:$W$5</c:f>
              <c:numCache>
                <c:formatCode>###0.00</c:formatCode>
                <c:ptCount val="5"/>
                <c:pt idx="0">
                  <c:v>9.859</c:v>
                </c:pt>
                <c:pt idx="1">
                  <c:v>2.564</c:v>
                </c:pt>
                <c:pt idx="2">
                  <c:v>9.4695</c:v>
                </c:pt>
                <c:pt idx="3">
                  <c:v>7.2789</c:v>
                </c:pt>
                <c:pt idx="4">
                  <c:v>18.8565</c:v>
                </c:pt>
              </c:numCache>
            </c:numRef>
          </c:val>
        </c:ser>
        <c:ser>
          <c:idx val="2"/>
          <c:order val="2"/>
          <c:tx>
            <c:strRef>
              <c:f>基础指标!$R$6</c:f>
              <c:strCache>
                <c:ptCount val="1"/>
                <c:pt idx="0">
                  <c:v>赤峰</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errBars>
            <c:errBarType val="both"/>
            <c:errValType val="cust"/>
            <c:noEndCap val="0"/>
            <c:plus>
              <c:numRef>
                <c:f>基础指标!$U$12:$U$18</c:f>
                <c:numCache>
                  <c:formatCode>General</c:formatCode>
                  <c:ptCount val="7"/>
                  <c:pt idx="0">
                    <c:v>0.993827617513889</c:v>
                  </c:pt>
                  <c:pt idx="1">
                    <c:v>1.86145238993642</c:v>
                  </c:pt>
                  <c:pt idx="2">
                    <c:v>1.11847841302192</c:v>
                  </c:pt>
                  <c:pt idx="3">
                    <c:v>0.883861558962294</c:v>
                  </c:pt>
                  <c:pt idx="4">
                    <c:v>0.80908045923513</c:v>
                  </c:pt>
                  <c:pt idx="5">
                    <c:v>0.579135644938295</c:v>
                  </c:pt>
                  <c:pt idx="6">
                    <c:v>0.779066026417394</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基础指标!$S$6:$W$6</c:f>
              <c:numCache>
                <c:formatCode>###0.00</c:formatCode>
                <c:ptCount val="5"/>
                <c:pt idx="0">
                  <c:v>10.8321951219512</c:v>
                </c:pt>
                <c:pt idx="1">
                  <c:v>2.44901234567901</c:v>
                </c:pt>
                <c:pt idx="2">
                  <c:v>9.98980198019802</c:v>
                </c:pt>
                <c:pt idx="3">
                  <c:v>7.21366666666667</c:v>
                </c:pt>
                <c:pt idx="4">
                  <c:v>22.3878888888889</c:v>
                </c:pt>
              </c:numCache>
            </c:numRef>
          </c:val>
        </c:ser>
        <c:ser>
          <c:idx val="3"/>
          <c:order val="3"/>
          <c:tx>
            <c:strRef>
              <c:f>基础指标!$R$7</c:f>
              <c:strCache>
                <c:ptCount val="1"/>
                <c:pt idx="0">
                  <c:v>通辽奈曼</c:v>
                </c:pt>
              </c:strCache>
            </c:strRef>
          </c:tx>
          <c:spPr>
            <a:solidFill>
              <a:schemeClr val="accent4"/>
            </a:solidFill>
            <a:ln>
              <a:noFill/>
            </a:ln>
            <a:effectLst/>
          </c:spPr>
          <c:invertIfNegative val="0"/>
          <c:dLbls>
            <c:delete val="1"/>
          </c:dLbls>
          <c:errBars>
            <c:errBarType val="both"/>
            <c:errValType val="cust"/>
            <c:noEndCap val="0"/>
            <c:plus>
              <c:numRef>
                <c:f>基础指标!$V$12:$V$18</c:f>
                <c:numCache>
                  <c:formatCode>General</c:formatCode>
                  <c:ptCount val="7"/>
                  <c:pt idx="0">
                    <c:v>0.541788299558473</c:v>
                  </c:pt>
                  <c:pt idx="1">
                    <c:v>0.61563804300904</c:v>
                  </c:pt>
                  <c:pt idx="2">
                    <c:v>0.408498703806066</c:v>
                  </c:pt>
                  <c:pt idx="3">
                    <c:v>0.339982989133916</c:v>
                  </c:pt>
                  <c:pt idx="4">
                    <c:v>0.61881351009998</c:v>
                  </c:pt>
                  <c:pt idx="5">
                    <c:v>0.265528224667808</c:v>
                  </c:pt>
                  <c:pt idx="6">
                    <c:v>0.182120743925467</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基础指标!$S$7:$W$7</c:f>
              <c:numCache>
                <c:formatCode>###0.00</c:formatCode>
                <c:ptCount val="5"/>
                <c:pt idx="0">
                  <c:v>9.961</c:v>
                </c:pt>
                <c:pt idx="1">
                  <c:v>2.95083333333333</c:v>
                </c:pt>
                <c:pt idx="2">
                  <c:v>9.57727272727273</c:v>
                </c:pt>
                <c:pt idx="3">
                  <c:v>7.38863636363636</c:v>
                </c:pt>
                <c:pt idx="4">
                  <c:v>19.0040909090909</c:v>
                </c:pt>
              </c:numCache>
            </c:numRef>
          </c:val>
        </c:ser>
        <c:ser>
          <c:idx val="4"/>
          <c:order val="4"/>
          <c:tx>
            <c:strRef>
              <c:f>基础指标!$R$8</c:f>
              <c:strCache>
                <c:ptCount val="1"/>
                <c:pt idx="0">
                  <c:v>兴安盟</c:v>
                </c:pt>
              </c:strCache>
            </c:strRef>
          </c:tx>
          <c:spPr>
            <a:solidFill>
              <a:schemeClr val="accent5"/>
            </a:solidFill>
            <a:ln>
              <a:noFill/>
            </a:ln>
            <a:effectLst/>
          </c:spPr>
          <c:invertIfNegative val="0"/>
          <c:dLbls>
            <c:dLbl>
              <c:idx val="1"/>
              <c:delete val="1"/>
            </c:dLbl>
            <c:dLbl>
              <c:idx val="2"/>
              <c:delete val="1"/>
            </c:dLbl>
            <c:dLbl>
              <c:idx val="4"/>
              <c:delete val="1"/>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errBars>
            <c:errBarType val="both"/>
            <c:errValType val="cust"/>
            <c:noEndCap val="0"/>
            <c:plus>
              <c:numRef>
                <c:f>基础指标!$W$12:$W$18</c:f>
                <c:numCache>
                  <c:formatCode>General</c:formatCode>
                  <c:ptCount val="7"/>
                  <c:pt idx="0">
                    <c:v>4.60095073787013</c:v>
                  </c:pt>
                  <c:pt idx="1">
                    <c:v>6.35837473026923</c:v>
                  </c:pt>
                  <c:pt idx="2">
                    <c:v>4.85261900662628</c:v>
                  </c:pt>
                  <c:pt idx="3">
                    <c:v>3.99524677000642</c:v>
                  </c:pt>
                  <c:pt idx="4">
                    <c:v>5.01367404398759</c:v>
                  </c:pt>
                  <c:pt idx="5">
                    <c:v>0.902273847142925</c:v>
                  </c:pt>
                  <c:pt idx="6">
                    <c:v>1.04615985054887</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基础指标!$S$8:$W$8</c:f>
              <c:numCache>
                <c:formatCode>###0.00</c:formatCode>
                <c:ptCount val="5"/>
                <c:pt idx="0">
                  <c:v>11.278</c:v>
                </c:pt>
                <c:pt idx="1">
                  <c:v>2.18</c:v>
                </c:pt>
                <c:pt idx="2">
                  <c:v>9.6121875</c:v>
                </c:pt>
                <c:pt idx="3">
                  <c:v>7.46396875</c:v>
                </c:pt>
                <c:pt idx="4">
                  <c:v>17.52125</c:v>
                </c:pt>
              </c:numCache>
            </c:numRef>
          </c:val>
        </c:ser>
        <c:ser>
          <c:idx val="5"/>
          <c:order val="5"/>
          <c:tx>
            <c:strRef>
              <c:f>基础指标!$R$9</c:f>
              <c:strCache>
                <c:ptCount val="1"/>
                <c:pt idx="0">
                  <c:v>河北蔚县</c:v>
                </c:pt>
              </c:strCache>
            </c:strRef>
          </c:tx>
          <c:spPr>
            <a:solidFill>
              <a:schemeClr val="accent6"/>
            </a:solidFill>
            <a:ln>
              <a:noFill/>
            </a:ln>
            <a:effectLst/>
          </c:spPr>
          <c:invertIfNegative val="0"/>
          <c:dLbls>
            <c:delete val="1"/>
          </c:dLbls>
          <c:errBars>
            <c:errBarType val="both"/>
            <c:errValType val="cust"/>
            <c:noEndCap val="0"/>
            <c:plus>
              <c:numRef>
                <c:f>基础指标!$S$17:$W$17</c:f>
                <c:numCache>
                  <c:formatCode>General</c:formatCode>
                  <c:ptCount val="5"/>
                  <c:pt idx="0">
                    <c:v>0.843824626329428</c:v>
                  </c:pt>
                  <c:pt idx="1">
                    <c:v>0.698697427530755</c:v>
                  </c:pt>
                  <c:pt idx="2">
                    <c:v>0.579135644938295</c:v>
                  </c:pt>
                  <c:pt idx="3">
                    <c:v>0.265528224667808</c:v>
                  </c:pt>
                  <c:pt idx="4">
                    <c:v>0.902273847142925</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基础指标!$S$9:$W$9</c:f>
              <c:numCache>
                <c:formatCode>###0.00</c:formatCode>
                <c:ptCount val="5"/>
                <c:pt idx="0">
                  <c:v>9.566</c:v>
                </c:pt>
                <c:pt idx="1">
                  <c:v>2.48733333333333</c:v>
                </c:pt>
                <c:pt idx="2">
                  <c:v>8.84466666666667</c:v>
                </c:pt>
                <c:pt idx="3">
                  <c:v>6.91933333333333</c:v>
                </c:pt>
                <c:pt idx="4">
                  <c:v>23.5253333333333</c:v>
                </c:pt>
              </c:numCache>
            </c:numRef>
          </c:val>
        </c:ser>
        <c:ser>
          <c:idx val="6"/>
          <c:order val="6"/>
          <c:tx>
            <c:strRef>
              <c:f>基础指标!$R$10</c:f>
              <c:strCache>
                <c:ptCount val="1"/>
                <c:pt idx="0">
                  <c:v>山西沁州</c:v>
                </c:pt>
              </c:strCache>
            </c:strRef>
          </c:tx>
          <c:spPr>
            <a:solidFill>
              <a:schemeClr val="accent1">
                <a:lumMod val="60000"/>
              </a:schemeClr>
            </a:solidFill>
            <a:ln>
              <a:noFill/>
            </a:ln>
            <a:effectLst/>
          </c:spPr>
          <c:invertIfNegative val="0"/>
          <c:dLbls>
            <c:dLbl>
              <c:idx val="0"/>
              <c:delete val="1"/>
            </c:dLbl>
            <c:dLbl>
              <c:idx val="2"/>
              <c:delete val="1"/>
            </c:dLbl>
            <c:dLbl>
              <c:idx val="3"/>
              <c:delete val="1"/>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errBars>
            <c:errBarType val="both"/>
            <c:errValType val="cust"/>
            <c:noEndCap val="0"/>
            <c:plus>
              <c:numRef>
                <c:f>基础指标!$S$18:$W$18</c:f>
                <c:numCache>
                  <c:formatCode>General</c:formatCode>
                  <c:ptCount val="5"/>
                  <c:pt idx="0">
                    <c:v>1.002349088183</c:v>
                  </c:pt>
                  <c:pt idx="1">
                    <c:v>0.827487745153635</c:v>
                  </c:pt>
                  <c:pt idx="2">
                    <c:v>0.779066026417394</c:v>
                  </c:pt>
                  <c:pt idx="3">
                    <c:v>0.182120743925467</c:v>
                  </c:pt>
                  <c:pt idx="4">
                    <c:v>1.04615985054887</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基础指标!$S$3:$W$3</c:f>
              <c:strCache>
                <c:ptCount val="5"/>
                <c:pt idx="0">
                  <c:v>水分%</c:v>
                </c:pt>
                <c:pt idx="1">
                  <c:v>脂肪%</c:v>
                </c:pt>
                <c:pt idx="2">
                  <c:v>蛋白质%</c:v>
                </c:pt>
                <c:pt idx="3">
                  <c:v>淀粉1‰</c:v>
                </c:pt>
                <c:pt idx="4">
                  <c:v>直链淀粉%</c:v>
                </c:pt>
              </c:strCache>
            </c:strRef>
          </c:cat>
          <c:val>
            <c:numRef>
              <c:f>基础指标!$S$10:$W$10</c:f>
              <c:numCache>
                <c:formatCode>###0.00</c:formatCode>
                <c:ptCount val="5"/>
                <c:pt idx="0">
                  <c:v>9.86413793103449</c:v>
                </c:pt>
                <c:pt idx="1">
                  <c:v>3.05217391304348</c:v>
                </c:pt>
                <c:pt idx="2">
                  <c:v>9.05434782608696</c:v>
                </c:pt>
                <c:pt idx="3">
                  <c:v>7.13718181818182</c:v>
                </c:pt>
                <c:pt idx="4">
                  <c:v>24.0386363636364</c:v>
                </c:pt>
              </c:numCache>
            </c:numRef>
          </c:val>
        </c:ser>
        <c:dLbls>
          <c:showLegendKey val="0"/>
          <c:showVal val="0"/>
          <c:showCatName val="0"/>
          <c:showSerName val="0"/>
          <c:showPercent val="0"/>
          <c:showBubbleSize val="0"/>
        </c:dLbls>
        <c:gapWidth val="219"/>
        <c:overlap val="-27"/>
        <c:axId val="1176270336"/>
        <c:axId val="1176271872"/>
      </c:barChart>
      <c:catAx>
        <c:axId val="1176270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76271872"/>
        <c:crosses val="autoZero"/>
        <c:auto val="1"/>
        <c:lblAlgn val="ctr"/>
        <c:lblOffset val="100"/>
        <c:noMultiLvlLbl val="0"/>
      </c:catAx>
      <c:valAx>
        <c:axId val="1176271872"/>
        <c:scaling>
          <c:orientation val="minMax"/>
        </c:scaling>
        <c:delete val="0"/>
        <c:axPos val="l"/>
        <c:numFmt formatCode="###0.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7627033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e4c6b4f-dd8b-47a0-a115-4997385a2bcc}"/>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EAA</a:t>
            </a:r>
            <a:r>
              <a:rPr lang="zh-CN" altLang="en-US"/>
              <a:t>、</a:t>
            </a:r>
            <a:r>
              <a:rPr lang="en-US" altLang="zh-CN"/>
              <a:t>TAA</a:t>
            </a:r>
            <a:r>
              <a:rPr lang="zh-CN" altLang="en-US"/>
              <a:t>、</a:t>
            </a:r>
            <a:r>
              <a:rPr lang="en-US" altLang="zh-CN"/>
              <a:t>EAA/TAA</a:t>
            </a:r>
            <a:endParaRPr lang="zh-CN" altLang="en-US"/>
          </a:p>
        </c:rich>
      </c:tx>
      <c:layout/>
      <c:overlay val="0"/>
      <c:spPr>
        <a:noFill/>
        <a:ln>
          <a:noFill/>
        </a:ln>
        <a:effectLst/>
      </c:spPr>
    </c:title>
    <c:autoTitleDeleted val="0"/>
    <c:plotArea>
      <c:layout/>
      <c:barChart>
        <c:barDir val="col"/>
        <c:grouping val="clustered"/>
        <c:varyColors val="0"/>
        <c:ser>
          <c:idx val="0"/>
          <c:order val="0"/>
          <c:tx>
            <c:strRef>
              <c:f>氨基酸分析!$L$20</c:f>
              <c:strCache>
                <c:ptCount val="1"/>
                <c:pt idx="0">
                  <c:v>清水河县</c:v>
                </c:pt>
              </c:strCache>
            </c:strRef>
          </c:tx>
          <c:spPr>
            <a:solidFill>
              <a:schemeClr val="accent1"/>
            </a:solidFill>
            <a:ln>
              <a:noFill/>
            </a:ln>
            <a:effectLst/>
          </c:spPr>
          <c:invertIfNegative val="0"/>
          <c:dLbls>
            <c:delete val="1"/>
          </c:dLbls>
          <c:errBars>
            <c:errBarType val="both"/>
            <c:errValType val="cust"/>
            <c:noEndCap val="0"/>
            <c:plus>
              <c:numRef>
                <c:f>氨基酸分析!$M$28:$O$28</c:f>
                <c:numCache>
                  <c:formatCode>General</c:formatCode>
                  <c:ptCount val="3"/>
                  <c:pt idx="0">
                    <c:v>0.400491796807806</c:v>
                  </c:pt>
                  <c:pt idx="1">
                    <c:v>0.99720304311379</c:v>
                  </c:pt>
                  <c:pt idx="2">
                    <c:v>0.0381564233606632</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氨基酸分析!$M$20:$O$20</c:f>
              <c:numCache>
                <c:formatCode>###0.0000</c:formatCode>
                <c:ptCount val="3"/>
                <c:pt idx="0">
                  <c:v>1.1241</c:v>
                </c:pt>
                <c:pt idx="1">
                  <c:v>3.39743333333333</c:v>
                </c:pt>
                <c:pt idx="2" c:formatCode="####.0000">
                  <c:v>0.328466666666667</c:v>
                </c:pt>
              </c:numCache>
            </c:numRef>
          </c:val>
        </c:ser>
        <c:ser>
          <c:idx val="1"/>
          <c:order val="1"/>
          <c:tx>
            <c:strRef>
              <c:f>氨基酸分析!$L$21</c:f>
              <c:strCache>
                <c:ptCount val="1"/>
                <c:pt idx="0">
                  <c:v>准格尔旗</c:v>
                </c:pt>
              </c:strCache>
            </c:strRef>
          </c:tx>
          <c:spPr>
            <a:solidFill>
              <a:schemeClr val="accent2"/>
            </a:solidFill>
            <a:ln>
              <a:noFill/>
            </a:ln>
            <a:effectLst/>
          </c:spPr>
          <c:invertIfNegative val="0"/>
          <c:dLbls>
            <c:delete val="1"/>
          </c:dLbls>
          <c:errBars>
            <c:errBarType val="both"/>
            <c:errValType val="cust"/>
            <c:noEndCap val="0"/>
            <c:plus>
              <c:numRef>
                <c:f>氨基酸分析!$M$29:$O$29</c:f>
                <c:numCache>
                  <c:formatCode>General</c:formatCode>
                  <c:ptCount val="3"/>
                  <c:pt idx="0">
                    <c:v>0.240792118734074</c:v>
                  </c:pt>
                  <c:pt idx="1">
                    <c:v>0.63672887130674</c:v>
                  </c:pt>
                  <c:pt idx="2">
                    <c:v>0.0404586208366029</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氨基酸分析!$M$21:$O$21</c:f>
              <c:numCache>
                <c:formatCode>####.0000</c:formatCode>
                <c:ptCount val="3"/>
                <c:pt idx="0">
                  <c:v>0.8952</c:v>
                </c:pt>
                <c:pt idx="1" c:formatCode="###0.0000">
                  <c:v>2.8399</c:v>
                </c:pt>
                <c:pt idx="2">
                  <c:v>0.3153</c:v>
                </c:pt>
              </c:numCache>
            </c:numRef>
          </c:val>
        </c:ser>
        <c:ser>
          <c:idx val="2"/>
          <c:order val="2"/>
          <c:tx>
            <c:strRef>
              <c:f>氨基酸分析!$L$22</c:f>
              <c:strCache>
                <c:ptCount val="1"/>
                <c:pt idx="0">
                  <c:v>赤峰</c:v>
                </c:pt>
              </c:strCache>
            </c:strRef>
          </c:tx>
          <c:spPr>
            <a:solidFill>
              <a:schemeClr val="accent3"/>
            </a:solidFill>
            <a:ln>
              <a:noFill/>
            </a:ln>
            <a:effectLst/>
          </c:spPr>
          <c:invertIfNegative val="0"/>
          <c:dLbls>
            <c:delete val="1"/>
          </c:dLbls>
          <c:errBars>
            <c:errBarType val="both"/>
            <c:errValType val="cust"/>
            <c:noEndCap val="0"/>
            <c:plus>
              <c:numRef>
                <c:f>氨基酸分析!$M$30:$O$30</c:f>
                <c:numCache>
                  <c:formatCode>General</c:formatCode>
                  <c:ptCount val="3"/>
                  <c:pt idx="0">
                    <c:v>0.440493077311425</c:v>
                  </c:pt>
                  <c:pt idx="1">
                    <c:v>1.05488217402893</c:v>
                  </c:pt>
                  <c:pt idx="2">
                    <c:v>0.0744902823730832</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氨基酸分析!$M$22:$O$22</c:f>
              <c:numCache>
                <c:formatCode>###0.0000</c:formatCode>
                <c:ptCount val="3"/>
                <c:pt idx="0">
                  <c:v>1.29185365853659</c:v>
                </c:pt>
                <c:pt idx="1">
                  <c:v>3.83948780487805</c:v>
                </c:pt>
                <c:pt idx="2" c:formatCode="####.0000">
                  <c:v>0.338292682926829</c:v>
                </c:pt>
              </c:numCache>
            </c:numRef>
          </c:val>
        </c:ser>
        <c:ser>
          <c:idx val="3"/>
          <c:order val="3"/>
          <c:tx>
            <c:strRef>
              <c:f>氨基酸分析!$L$23</c:f>
              <c:strCache>
                <c:ptCount val="1"/>
                <c:pt idx="0">
                  <c:v>通辽奈曼</c:v>
                </c:pt>
              </c:strCache>
            </c:strRef>
          </c:tx>
          <c:spPr>
            <a:solidFill>
              <a:schemeClr val="accent4"/>
            </a:solidFill>
            <a:ln>
              <a:noFill/>
            </a:ln>
            <a:effectLst/>
          </c:spPr>
          <c:invertIfNegative val="0"/>
          <c:dLbls>
            <c:delete val="1"/>
          </c:dLbls>
          <c:errBars>
            <c:errBarType val="both"/>
            <c:errValType val="cust"/>
            <c:noEndCap val="0"/>
            <c:plus>
              <c:numRef>
                <c:f>氨基酸分析!$M$31:$O$31</c:f>
                <c:numCache>
                  <c:formatCode>General</c:formatCode>
                  <c:ptCount val="3"/>
                  <c:pt idx="0">
                    <c:v>0.2002952628189</c:v>
                  </c:pt>
                  <c:pt idx="1">
                    <c:v>0.401292399309518</c:v>
                  </c:pt>
                  <c:pt idx="2">
                    <c:v>0.0406040922530268</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氨基酸分析!$M$23:$O$23</c:f>
              <c:numCache>
                <c:formatCode>####.0000</c:formatCode>
                <c:ptCount val="3"/>
                <c:pt idx="0">
                  <c:v>0.969230769230769</c:v>
                </c:pt>
                <c:pt idx="1" c:formatCode="###0.0000">
                  <c:v>2.84861538461538</c:v>
                </c:pt>
                <c:pt idx="2">
                  <c:v>0.339769230769231</c:v>
                </c:pt>
              </c:numCache>
            </c:numRef>
          </c:val>
        </c:ser>
        <c:ser>
          <c:idx val="4"/>
          <c:order val="4"/>
          <c:tx>
            <c:strRef>
              <c:f>氨基酸分析!$L$24</c:f>
              <c:strCache>
                <c:ptCount val="1"/>
                <c:pt idx="0">
                  <c:v>兴安盟</c:v>
                </c:pt>
              </c:strCache>
            </c:strRef>
          </c:tx>
          <c:spPr>
            <a:solidFill>
              <a:schemeClr val="accent5"/>
            </a:solidFill>
            <a:ln>
              <a:noFill/>
            </a:ln>
            <a:effectLst/>
          </c:spPr>
          <c:invertIfNegative val="0"/>
          <c:dLbls>
            <c:delete val="1"/>
          </c:dLbls>
          <c:errBars>
            <c:errBarType val="both"/>
            <c:errValType val="cust"/>
            <c:noEndCap val="0"/>
            <c:plus>
              <c:numRef>
                <c:f>氨基酸分析!$M$32:$O$32</c:f>
                <c:numCache>
                  <c:formatCode>General</c:formatCode>
                  <c:ptCount val="3"/>
                  <c:pt idx="0">
                    <c:v>0.318643322018</c:v>
                  </c:pt>
                  <c:pt idx="1">
                    <c:v>0.970063777972012</c:v>
                  </c:pt>
                  <c:pt idx="2">
                    <c:v>0.0337842829993146</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氨基酸分析!$M$24:$O$24</c:f>
              <c:numCache>
                <c:formatCode>###0.0000</c:formatCode>
                <c:ptCount val="3"/>
                <c:pt idx="0">
                  <c:v>1.1783</c:v>
                </c:pt>
                <c:pt idx="1">
                  <c:v>3.5368</c:v>
                </c:pt>
                <c:pt idx="2" c:formatCode="####.0000">
                  <c:v>0.3356</c:v>
                </c:pt>
              </c:numCache>
            </c:numRef>
          </c:val>
        </c:ser>
        <c:ser>
          <c:idx val="5"/>
          <c:order val="5"/>
          <c:tx>
            <c:strRef>
              <c:f>氨基酸分析!$L$25</c:f>
              <c:strCache>
                <c:ptCount val="1"/>
                <c:pt idx="0">
                  <c:v>河北蔚县</c:v>
                </c:pt>
              </c:strCache>
            </c:strRef>
          </c:tx>
          <c:spPr>
            <a:solidFill>
              <a:schemeClr val="accent6"/>
            </a:solidFill>
            <a:ln>
              <a:noFill/>
            </a:ln>
            <a:effectLst/>
          </c:spPr>
          <c:invertIfNegative val="0"/>
          <c:dLbls>
            <c:delete val="1"/>
          </c:dLbls>
          <c:errBars>
            <c:errBarType val="both"/>
            <c:errValType val="cust"/>
            <c:noEndCap val="0"/>
            <c:plus>
              <c:numRef>
                <c:f>氨基酸分析!$M$33:$O$33</c:f>
                <c:numCache>
                  <c:formatCode>General</c:formatCode>
                  <c:ptCount val="3"/>
                  <c:pt idx="0">
                    <c:v>0.229217571835353</c:v>
                  </c:pt>
                  <c:pt idx="1">
                    <c:v>0.545577151804791</c:v>
                  </c:pt>
                  <c:pt idx="2">
                    <c:v>0.0363492319955548</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氨基酸分析!$M$25:$O$25</c:f>
              <c:numCache>
                <c:formatCode>###0.0000</c:formatCode>
                <c:ptCount val="3"/>
                <c:pt idx="0">
                  <c:v>1.01353333333333</c:v>
                </c:pt>
                <c:pt idx="1">
                  <c:v>2.988</c:v>
                </c:pt>
                <c:pt idx="2" c:formatCode="####.0000">
                  <c:v>0.338866666666667</c:v>
                </c:pt>
              </c:numCache>
            </c:numRef>
          </c:val>
        </c:ser>
        <c:ser>
          <c:idx val="6"/>
          <c:order val="6"/>
          <c:tx>
            <c:strRef>
              <c:f>氨基酸分析!$L$26</c:f>
              <c:strCache>
                <c:ptCount val="1"/>
                <c:pt idx="0">
                  <c:v>山西沁州</c:v>
                </c:pt>
              </c:strCache>
            </c:strRef>
          </c:tx>
          <c:spPr>
            <a:solidFill>
              <a:schemeClr val="accent1">
                <a:lumMod val="60000"/>
              </a:schemeClr>
            </a:solidFill>
            <a:ln>
              <a:noFill/>
            </a:ln>
            <a:effectLst/>
          </c:spPr>
          <c:invertIfNegative val="0"/>
          <c:dLbls>
            <c:delete val="1"/>
          </c:dLbls>
          <c:errBars>
            <c:errBarType val="both"/>
            <c:errValType val="cust"/>
            <c:noEndCap val="0"/>
            <c:plus>
              <c:numRef>
                <c:f>氨基酸分析!$M$34:$O$34</c:f>
                <c:numCache>
                  <c:formatCode>General</c:formatCode>
                  <c:ptCount val="3"/>
                  <c:pt idx="0">
                    <c:v>0.177142292029926</c:v>
                  </c:pt>
                  <c:pt idx="1">
                    <c:v>0.448334160760067</c:v>
                  </c:pt>
                  <c:pt idx="2">
                    <c:v>0.0239685754861952</c:v>
                  </c:pt>
                </c:numCache>
              </c:numRef>
            </c:plus>
            <c:minus>
              <c:numLit>
                <c:formatCode>General</c:formatCode>
                <c:ptCount val="1"/>
                <c:pt idx="0">
                  <c:v>1</c:v>
                </c:pt>
              </c:numLit>
            </c:minus>
            <c:spPr>
              <a:noFill/>
              <a:ln w="9525" cap="flat" cmpd="sng" algn="ctr">
                <a:solidFill>
                  <a:schemeClr val="tx1">
                    <a:lumMod val="65000"/>
                    <a:lumOff val="35000"/>
                  </a:schemeClr>
                </a:solidFill>
                <a:prstDash val="solid"/>
                <a:round/>
              </a:ln>
              <a:effectLst/>
            </c:spPr>
          </c:errBars>
          <c:cat>
            <c:strRef>
              <c:f>氨基酸分析!$M$19:$O$19</c:f>
              <c:strCache>
                <c:ptCount val="3"/>
                <c:pt idx="0">
                  <c:v>必需氨基酸EAA</c:v>
                </c:pt>
                <c:pt idx="1">
                  <c:v>氨基酸总量TAA</c:v>
                </c:pt>
                <c:pt idx="2">
                  <c:v>EAA/TAA</c:v>
                </c:pt>
              </c:strCache>
            </c:strRef>
          </c:cat>
          <c:val>
            <c:numRef>
              <c:f>氨基酸分析!$M$26:$O$26</c:f>
              <c:numCache>
                <c:formatCode>###0.0000</c:formatCode>
                <c:ptCount val="3"/>
                <c:pt idx="0">
                  <c:v>1.10603448275862</c:v>
                </c:pt>
                <c:pt idx="1">
                  <c:v>3.14034482758621</c:v>
                </c:pt>
                <c:pt idx="2" c:formatCode="####.0000">
                  <c:v>0.352275862068965</c:v>
                </c:pt>
              </c:numCache>
            </c:numRef>
          </c:val>
        </c:ser>
        <c:dLbls>
          <c:showLegendKey val="0"/>
          <c:showVal val="0"/>
          <c:showCatName val="0"/>
          <c:showSerName val="0"/>
          <c:showPercent val="0"/>
          <c:showBubbleSize val="0"/>
        </c:dLbls>
        <c:gapWidth val="219"/>
        <c:overlap val="-27"/>
        <c:axId val="1193489152"/>
        <c:axId val="1193490688"/>
      </c:barChart>
      <c:catAx>
        <c:axId val="1193489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93490688"/>
        <c:crosses val="autoZero"/>
        <c:auto val="1"/>
        <c:lblAlgn val="ctr"/>
        <c:lblOffset val="100"/>
        <c:noMultiLvlLbl val="0"/>
      </c:catAx>
      <c:valAx>
        <c:axId val="1193490688"/>
        <c:scaling>
          <c:orientation val="minMax"/>
          <c:max val="4.5"/>
          <c:min val="0"/>
        </c:scaling>
        <c:delete val="0"/>
        <c:axPos val="l"/>
        <c:numFmt formatCode="###0.00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93489152"/>
        <c:crosses val="autoZero"/>
        <c:crossBetween val="between"/>
        <c:majorUnit val="1"/>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250b789-8a1c-47ce-a173-67b2461d0475}"/>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水溶性维生素</a:t>
            </a:r>
            <a:endParaRPr lang="zh-CN" altLang="en-US" b="1"/>
          </a:p>
        </c:rich>
      </c:tx>
      <c:layout>
        <c:manualLayout>
          <c:xMode val="edge"/>
          <c:yMode val="edge"/>
          <c:x val="0.479789921552985"/>
          <c:y val="0.100922003488662"/>
        </c:manualLayout>
      </c:layout>
      <c:overlay val="0"/>
      <c:spPr>
        <a:noFill/>
        <a:ln>
          <a:noFill/>
        </a:ln>
        <a:effectLst/>
      </c:spPr>
    </c:title>
    <c:autoTitleDeleted val="0"/>
    <c:plotArea>
      <c:layout>
        <c:manualLayout>
          <c:layoutTarget val="inner"/>
          <c:xMode val="edge"/>
          <c:yMode val="edge"/>
          <c:x val="0.135965961973142"/>
          <c:y val="0.0505855968103663"/>
          <c:w val="0.859779284669592"/>
          <c:h val="0.698928482432096"/>
        </c:manualLayout>
      </c:layout>
      <c:barChart>
        <c:barDir val="col"/>
        <c:grouping val="clustered"/>
        <c:varyColors val="0"/>
        <c:ser>
          <c:idx val="0"/>
          <c:order val="0"/>
          <c:tx>
            <c:strRef>
              <c:f>维生素!$K$4</c:f>
              <c:strCache>
                <c:ptCount val="1"/>
                <c:pt idx="0">
                  <c:v>清水河县</c:v>
                </c:pt>
              </c:strCache>
            </c:strRef>
          </c:tx>
          <c:spPr>
            <a:solidFill>
              <a:schemeClr val="accent1"/>
            </a:solidFill>
            <a:ln>
              <a:noFill/>
            </a:ln>
            <a:effectLst/>
          </c:spPr>
          <c:invertIfNegative val="0"/>
          <c:dLbls>
            <c:delete val="1"/>
          </c:dLbls>
          <c:errBars>
            <c:errBarType val="both"/>
            <c:errValType val="cust"/>
            <c:noEndCap val="0"/>
            <c:plus>
              <c:numRef>
                <c:f>维生素!$L$21:$Q$21</c:f>
                <c:numCache>
                  <c:formatCode>General</c:formatCode>
                  <c:ptCount val="6"/>
                  <c:pt idx="0">
                    <c:v>0.559899431806618</c:v>
                  </c:pt>
                  <c:pt idx="1">
                    <c:v>0.0901844593872794</c:v>
                  </c:pt>
                  <c:pt idx="2">
                    <c:v>0.503656757292768</c:v>
                  </c:pt>
                  <c:pt idx="3">
                    <c:v>0.217328754286251</c:v>
                  </c:pt>
                  <c:pt idx="4">
                    <c:v>0.278448080139428</c:v>
                  </c:pt>
                  <c:pt idx="5">
                    <c:v>1.28625935957591</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维生素!$L$3:$N$3</c:f>
              <c:strCache>
                <c:ptCount val="3"/>
                <c:pt idx="0">
                  <c:v>VB1</c:v>
                </c:pt>
                <c:pt idx="1">
                  <c:v>VB2</c:v>
                </c:pt>
                <c:pt idx="2">
                  <c:v>VB3*0.1</c:v>
                </c:pt>
              </c:strCache>
            </c:strRef>
          </c:cat>
          <c:val>
            <c:numRef>
              <c:f>维生素!$L$4:$N$4</c:f>
              <c:numCache>
                <c:formatCode>###0.0000</c:formatCode>
                <c:ptCount val="3"/>
                <c:pt idx="0">
                  <c:v>2.27111111111111</c:v>
                </c:pt>
                <c:pt idx="1" c:formatCode="####.0000">
                  <c:v>0.193913043478261</c:v>
                </c:pt>
                <c:pt idx="2">
                  <c:v>0.8945625</c:v>
                </c:pt>
              </c:numCache>
            </c:numRef>
          </c:val>
        </c:ser>
        <c:ser>
          <c:idx val="1"/>
          <c:order val="1"/>
          <c:tx>
            <c:strRef>
              <c:f>维生素!$K$5</c:f>
              <c:strCache>
                <c:ptCount val="1"/>
                <c:pt idx="0">
                  <c:v>准格尔旗</c:v>
                </c:pt>
              </c:strCache>
            </c:strRef>
          </c:tx>
          <c:spPr>
            <a:solidFill>
              <a:schemeClr val="accent2"/>
            </a:solidFill>
            <a:ln>
              <a:noFill/>
            </a:ln>
            <a:effectLst/>
          </c:spPr>
          <c:invertIfNegative val="0"/>
          <c:dLbls>
            <c:delete val="1"/>
          </c:dLbls>
          <c:errBars>
            <c:errBarType val="both"/>
            <c:errValType val="cust"/>
            <c:noEndCap val="0"/>
            <c:plus>
              <c:numRef>
                <c:f>维生素!$L$22:$Q$22</c:f>
                <c:numCache>
                  <c:formatCode>General</c:formatCode>
                  <c:ptCount val="6"/>
                  <c:pt idx="0">
                    <c:v>0.805193788498792</c:v>
                  </c:pt>
                  <c:pt idx="1">
                    <c:v>0.115603519795782</c:v>
                  </c:pt>
                  <c:pt idx="2">
                    <c:v>0.34801072181759</c:v>
                  </c:pt>
                  <c:pt idx="3">
                    <c:v>0.238452004532586</c:v>
                  </c:pt>
                  <c:pt idx="4">
                    <c:v>0.278507929270724</c:v>
                  </c:pt>
                  <c:pt idx="5">
                    <c:v>1.0557397387668</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维生素!$L$3:$N$3</c:f>
              <c:strCache>
                <c:ptCount val="3"/>
                <c:pt idx="0">
                  <c:v>VB1</c:v>
                </c:pt>
                <c:pt idx="1">
                  <c:v>VB2</c:v>
                </c:pt>
                <c:pt idx="2">
                  <c:v>VB3*0.1</c:v>
                </c:pt>
              </c:strCache>
            </c:strRef>
          </c:cat>
          <c:val>
            <c:numRef>
              <c:f>维生素!$L$5:$N$5</c:f>
              <c:numCache>
                <c:formatCode>###0.0000</c:formatCode>
                <c:ptCount val="3"/>
                <c:pt idx="0">
                  <c:v>2.27115384615385</c:v>
                </c:pt>
                <c:pt idx="1" c:formatCode="####.0000">
                  <c:v>0.236153846153846</c:v>
                </c:pt>
                <c:pt idx="2">
                  <c:v>0.493266666666667</c:v>
                </c:pt>
              </c:numCache>
            </c:numRef>
          </c:val>
        </c:ser>
        <c:ser>
          <c:idx val="2"/>
          <c:order val="2"/>
          <c:tx>
            <c:strRef>
              <c:f>维生素!$K$6</c:f>
              <c:strCache>
                <c:ptCount val="1"/>
                <c:pt idx="0">
                  <c:v>赤峰</c:v>
                </c:pt>
              </c:strCache>
            </c:strRef>
          </c:tx>
          <c:spPr>
            <a:solidFill>
              <a:schemeClr val="accent3"/>
            </a:solidFill>
            <a:ln>
              <a:noFill/>
            </a:ln>
            <a:effectLst/>
          </c:spPr>
          <c:invertIfNegative val="0"/>
          <c:dLbls>
            <c:delete val="1"/>
          </c:dLbls>
          <c:errBars>
            <c:errBarType val="both"/>
            <c:errValType val="cust"/>
            <c:noEndCap val="0"/>
            <c:plus>
              <c:numRef>
                <c:f>维生素!$L$23:$Q$23</c:f>
                <c:numCache>
                  <c:formatCode>General</c:formatCode>
                  <c:ptCount val="6"/>
                  <c:pt idx="0">
                    <c:v>0.60485211761792</c:v>
                  </c:pt>
                  <c:pt idx="1">
                    <c:v>0.0887882648689378</c:v>
                  </c:pt>
                  <c:pt idx="2">
                    <c:v>0.267641861463982</c:v>
                  </c:pt>
                  <c:pt idx="3">
                    <c:v>0.139417483933362</c:v>
                  </c:pt>
                  <c:pt idx="4">
                    <c:v>0.183341211951923</c:v>
                  </c:pt>
                  <c:pt idx="5">
                    <c:v>1.88094414313281</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维生素!$L$3:$N$3</c:f>
              <c:strCache>
                <c:ptCount val="3"/>
                <c:pt idx="0">
                  <c:v>VB1</c:v>
                </c:pt>
                <c:pt idx="1">
                  <c:v>VB2</c:v>
                </c:pt>
                <c:pt idx="2">
                  <c:v>VB3*0.1</c:v>
                </c:pt>
              </c:strCache>
            </c:strRef>
          </c:cat>
          <c:val>
            <c:numRef>
              <c:f>维生素!$L$6:$N$6</c:f>
              <c:numCache>
                <c:formatCode>###0.0000</c:formatCode>
                <c:ptCount val="3"/>
                <c:pt idx="0">
                  <c:v>1.89911428571429</c:v>
                </c:pt>
                <c:pt idx="1" c:formatCode="####.0000">
                  <c:v>0.170433962264151</c:v>
                </c:pt>
                <c:pt idx="2">
                  <c:v>0.382434782608696</c:v>
                </c:pt>
              </c:numCache>
            </c:numRef>
          </c:val>
        </c:ser>
        <c:ser>
          <c:idx val="3"/>
          <c:order val="3"/>
          <c:tx>
            <c:strRef>
              <c:f>维生素!$K$7</c:f>
              <c:strCache>
                <c:ptCount val="1"/>
                <c:pt idx="0">
                  <c:v>通辽奈曼</c:v>
                </c:pt>
              </c:strCache>
            </c:strRef>
          </c:tx>
          <c:spPr>
            <a:solidFill>
              <a:schemeClr val="accent4"/>
            </a:solidFill>
            <a:ln>
              <a:noFill/>
            </a:ln>
            <a:effectLst/>
          </c:spPr>
          <c:invertIfNegative val="0"/>
          <c:dLbls>
            <c:delete val="1"/>
          </c:dLbls>
          <c:errBars>
            <c:errBarType val="both"/>
            <c:errValType val="cust"/>
            <c:noEndCap val="0"/>
            <c:plus>
              <c:numRef>
                <c:f>维生素!$L$24:$Q$24</c:f>
                <c:numCache>
                  <c:formatCode>General</c:formatCode>
                  <c:ptCount val="6"/>
                  <c:pt idx="0">
                    <c:v>0.765668295078381</c:v>
                  </c:pt>
                  <c:pt idx="1">
                    <c:v>0.0776500961137241</c:v>
                  </c:pt>
                  <c:pt idx="2">
                    <c:v>0.0398162445910376</c:v>
                  </c:pt>
                  <c:pt idx="3">
                    <c:v>0.191291364423335</c:v>
                  </c:pt>
                  <c:pt idx="4">
                    <c:v>0.573258231515257</c:v>
                  </c:pt>
                  <c:pt idx="5">
                    <c:v>2.8527608426905</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维生素!$L$3:$N$3</c:f>
              <c:strCache>
                <c:ptCount val="3"/>
                <c:pt idx="0">
                  <c:v>VB1</c:v>
                </c:pt>
                <c:pt idx="1">
                  <c:v>VB2</c:v>
                </c:pt>
                <c:pt idx="2">
                  <c:v>VB3*0.1</c:v>
                </c:pt>
              </c:strCache>
            </c:strRef>
          </c:cat>
          <c:val>
            <c:numRef>
              <c:f>维生素!$L$7:$N$7</c:f>
              <c:numCache>
                <c:formatCode>###0.0000</c:formatCode>
                <c:ptCount val="3"/>
                <c:pt idx="0">
                  <c:v>1.92600588235294</c:v>
                </c:pt>
                <c:pt idx="1" c:formatCode="####.0000">
                  <c:v>0.227835294117647</c:v>
                </c:pt>
                <c:pt idx="2">
                  <c:v>0.487</c:v>
                </c:pt>
              </c:numCache>
            </c:numRef>
          </c:val>
        </c:ser>
        <c:ser>
          <c:idx val="4"/>
          <c:order val="4"/>
          <c:tx>
            <c:strRef>
              <c:f>维生素!$K$8</c:f>
              <c:strCache>
                <c:ptCount val="1"/>
                <c:pt idx="0">
                  <c:v>兴安盟</c:v>
                </c:pt>
              </c:strCache>
            </c:strRef>
          </c:tx>
          <c:spPr>
            <a:solidFill>
              <a:schemeClr val="accent5"/>
            </a:solidFill>
            <a:ln>
              <a:noFill/>
            </a:ln>
            <a:effectLst/>
          </c:spPr>
          <c:invertIfNegative val="0"/>
          <c:dLbls>
            <c:delete val="1"/>
          </c:dLbls>
          <c:errBars>
            <c:errBarType val="both"/>
            <c:errValType val="cust"/>
            <c:noEndCap val="0"/>
            <c:plus>
              <c:numRef>
                <c:f>维生素!$L$25:$Q$25</c:f>
                <c:numCache>
                  <c:formatCode>General</c:formatCode>
                  <c:ptCount val="6"/>
                  <c:pt idx="0">
                    <c:v>0.894946867603509</c:v>
                  </c:pt>
                  <c:pt idx="1">
                    <c:v>0.206183322555439</c:v>
                  </c:pt>
                  <c:pt idx="2">
                    <c:v>0.249680328954178</c:v>
                  </c:pt>
                  <c:pt idx="3">
                    <c:v>0.250458770236211</c:v>
                  </c:pt>
                  <c:pt idx="4">
                    <c:v>0.351445992599554</c:v>
                  </c:pt>
                  <c:pt idx="5">
                    <c:v>1.43038077252589</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维生素!$L$3:$N$3</c:f>
              <c:strCache>
                <c:ptCount val="3"/>
                <c:pt idx="0">
                  <c:v>VB1</c:v>
                </c:pt>
                <c:pt idx="1">
                  <c:v>VB2</c:v>
                </c:pt>
                <c:pt idx="2">
                  <c:v>VB3*0.1</c:v>
                </c:pt>
              </c:strCache>
            </c:strRef>
          </c:cat>
          <c:val>
            <c:numRef>
              <c:f>维生素!$L$8:$N$8</c:f>
              <c:numCache>
                <c:formatCode>###0.0000</c:formatCode>
                <c:ptCount val="3"/>
                <c:pt idx="0">
                  <c:v>1.9778125</c:v>
                </c:pt>
                <c:pt idx="1" c:formatCode="####.0000">
                  <c:v>0.2996875</c:v>
                </c:pt>
                <c:pt idx="2">
                  <c:v>0.909333333333333</c:v>
                </c:pt>
              </c:numCache>
            </c:numRef>
          </c:val>
        </c:ser>
        <c:ser>
          <c:idx val="5"/>
          <c:order val="5"/>
          <c:tx>
            <c:strRef>
              <c:f>维生素!$K$9</c:f>
              <c:strCache>
                <c:ptCount val="1"/>
                <c:pt idx="0">
                  <c:v>河北蔚县</c:v>
                </c:pt>
              </c:strCache>
            </c:strRef>
          </c:tx>
          <c:spPr>
            <a:solidFill>
              <a:schemeClr val="accent6"/>
            </a:solidFill>
            <a:ln>
              <a:noFill/>
            </a:ln>
            <a:effectLst/>
          </c:spPr>
          <c:invertIfNegative val="0"/>
          <c:dLbls>
            <c:delete val="1"/>
          </c:dLbls>
          <c:errBars>
            <c:errBarType val="both"/>
            <c:errValType val="cust"/>
            <c:noEndCap val="0"/>
            <c:plus>
              <c:numRef>
                <c:f>维生素!$L$26:$Q$26</c:f>
                <c:numCache>
                  <c:formatCode>General</c:formatCode>
                  <c:ptCount val="6"/>
                  <c:pt idx="0">
                    <c:v>0.664613743892969</c:v>
                  </c:pt>
                  <c:pt idx="1">
                    <c:v>0.0648588210397527</c:v>
                  </c:pt>
                  <c:pt idx="2">
                    <c:v>0</c:v>
                  </c:pt>
                  <c:pt idx="3">
                    <c:v>0.0712607552450522</c:v>
                  </c:pt>
                  <c:pt idx="5">
                    <c:v>1.1622076693374</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维生素!$L$3:$N$3</c:f>
              <c:strCache>
                <c:ptCount val="3"/>
                <c:pt idx="0">
                  <c:v>VB1</c:v>
                </c:pt>
                <c:pt idx="1">
                  <c:v>VB2</c:v>
                </c:pt>
                <c:pt idx="2">
                  <c:v>VB3*0.1</c:v>
                </c:pt>
              </c:strCache>
            </c:strRef>
          </c:cat>
          <c:val>
            <c:numRef>
              <c:f>维生素!$L$9:$N$9</c:f>
              <c:numCache>
                <c:formatCode>###0.0000</c:formatCode>
                <c:ptCount val="3"/>
                <c:pt idx="0">
                  <c:v>1.866</c:v>
                </c:pt>
                <c:pt idx="1" c:formatCode="####.0000">
                  <c:v>0.179333333333333</c:v>
                </c:pt>
              </c:numCache>
            </c:numRef>
          </c:val>
        </c:ser>
        <c:ser>
          <c:idx val="6"/>
          <c:order val="6"/>
          <c:tx>
            <c:strRef>
              <c:f>维生素!$K$10</c:f>
              <c:strCache>
                <c:ptCount val="1"/>
                <c:pt idx="0">
                  <c:v>山西沁州</c:v>
                </c:pt>
              </c:strCache>
            </c:strRef>
          </c:tx>
          <c:spPr>
            <a:solidFill>
              <a:schemeClr val="accent1">
                <a:lumMod val="60000"/>
              </a:schemeClr>
            </a:solidFill>
            <a:ln>
              <a:noFill/>
            </a:ln>
            <a:effectLst/>
          </c:spPr>
          <c:invertIfNegative val="0"/>
          <c:dLbls>
            <c:delete val="1"/>
          </c:dLbls>
          <c:errBars>
            <c:errBarType val="both"/>
            <c:errValType val="cust"/>
            <c:noEndCap val="0"/>
            <c:plus>
              <c:numRef>
                <c:f>维生素!$L$27:$Q$27</c:f>
                <c:numCache>
                  <c:formatCode>General</c:formatCode>
                  <c:ptCount val="6"/>
                  <c:pt idx="0">
                    <c:v>0.491476211699678</c:v>
                  </c:pt>
                  <c:pt idx="1">
                    <c:v>0.0629308943682385</c:v>
                  </c:pt>
                  <c:pt idx="2">
                    <c:v>0.922074903991768</c:v>
                  </c:pt>
                  <c:pt idx="3">
                    <c:v>0.183291245792901</c:v>
                  </c:pt>
                  <c:pt idx="4">
                    <c:v>0.0404011272398566</c:v>
                  </c:pt>
                  <c:pt idx="5">
                    <c:v>1.67275205664082</c:v>
                  </c:pt>
                </c:numCache>
              </c:numRef>
            </c:plus>
            <c:minus>
              <c:numLit>
                <c:formatCode>General</c:formatCode>
                <c:ptCount val="1"/>
                <c:pt idx="0">
                  <c:v>1</c:v>
                </c:pt>
              </c:numLit>
            </c:minus>
            <c:spPr>
              <a:noFill/>
              <a:ln w="9525" cap="flat" cmpd="sng" algn="ctr">
                <a:solidFill>
                  <a:schemeClr val="bg1">
                    <a:lumMod val="75000"/>
                  </a:schemeClr>
                </a:solidFill>
                <a:prstDash val="solid"/>
                <a:round/>
              </a:ln>
              <a:effectLst/>
            </c:spPr>
          </c:errBars>
          <c:cat>
            <c:strRef>
              <c:f>维生素!$L$3:$N$3</c:f>
              <c:strCache>
                <c:ptCount val="3"/>
                <c:pt idx="0">
                  <c:v>VB1</c:v>
                </c:pt>
                <c:pt idx="1">
                  <c:v>VB2</c:v>
                </c:pt>
                <c:pt idx="2">
                  <c:v>VB3*0.1</c:v>
                </c:pt>
              </c:strCache>
            </c:strRef>
          </c:cat>
          <c:val>
            <c:numRef>
              <c:f>维生素!$L$10:$N$10</c:f>
              <c:numCache>
                <c:formatCode>###0.0000</c:formatCode>
                <c:ptCount val="3"/>
                <c:pt idx="0">
                  <c:v>1.55383333333333</c:v>
                </c:pt>
                <c:pt idx="1" c:formatCode="####.0000">
                  <c:v>0.137559183673469</c:v>
                </c:pt>
                <c:pt idx="2">
                  <c:v>1.173</c:v>
                </c:pt>
              </c:numCache>
            </c:numRef>
          </c:val>
        </c:ser>
        <c:dLbls>
          <c:showLegendKey val="0"/>
          <c:showVal val="0"/>
          <c:showCatName val="0"/>
          <c:showSerName val="0"/>
          <c:showPercent val="0"/>
          <c:showBubbleSize val="0"/>
        </c:dLbls>
        <c:gapWidth val="150"/>
        <c:axId val="154796800"/>
        <c:axId val="154798336"/>
      </c:barChart>
      <c:catAx>
        <c:axId val="154796800"/>
        <c:scaling>
          <c:orientation val="minMax"/>
        </c:scaling>
        <c:delete val="0"/>
        <c:axPos val="b"/>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1050" b="1" i="0" u="none" strike="noStrike" kern="1200" baseline="0">
                <a:solidFill>
                  <a:schemeClr val="tx1">
                    <a:lumMod val="65000"/>
                    <a:lumOff val="35000"/>
                  </a:schemeClr>
                </a:solidFill>
                <a:latin typeface="+mn-lt"/>
                <a:ea typeface="+mn-ea"/>
                <a:cs typeface="+mn-cs"/>
              </a:defRPr>
            </a:pPr>
          </a:p>
        </c:txPr>
        <c:crossAx val="154798336"/>
        <c:crosses val="autoZero"/>
        <c:auto val="1"/>
        <c:lblAlgn val="ctr"/>
        <c:lblOffset val="100"/>
        <c:noMultiLvlLbl val="0"/>
      </c:catAx>
      <c:valAx>
        <c:axId val="154798336"/>
        <c:scaling>
          <c:orientation val="minMax"/>
          <c:max val="3"/>
          <c:min val="0"/>
        </c:scaling>
        <c:delete val="0"/>
        <c:axPos val="l"/>
        <c:numFmt formatCode="###0.00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47968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f9066e8-cecb-475e-8fe7-bf2c30adf855}"/>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脂溶性维生素</a:t>
            </a:r>
            <a:endParaRPr lang="zh-CN" altLang="en-US" b="1"/>
          </a:p>
        </c:rich>
      </c:tx>
      <c:layout>
        <c:manualLayout>
          <c:xMode val="edge"/>
          <c:yMode val="edge"/>
          <c:x val="0.484032168941786"/>
          <c:y val="0.0133746213302933"/>
        </c:manualLayout>
      </c:layout>
      <c:overlay val="0"/>
      <c:spPr>
        <a:noFill/>
        <a:ln>
          <a:noFill/>
        </a:ln>
        <a:effectLst/>
      </c:spPr>
    </c:title>
    <c:autoTitleDeleted val="0"/>
    <c:plotArea>
      <c:layout/>
      <c:barChart>
        <c:barDir val="col"/>
        <c:grouping val="clustered"/>
        <c:varyColors val="0"/>
        <c:ser>
          <c:idx val="0"/>
          <c:order val="0"/>
          <c:tx>
            <c:strRef>
              <c:f>维生素!$K$13</c:f>
              <c:strCache>
                <c:ptCount val="1"/>
                <c:pt idx="0">
                  <c:v>清水河县</c:v>
                </c:pt>
              </c:strCache>
            </c:strRef>
          </c:tx>
          <c:spPr>
            <a:solidFill>
              <a:schemeClr val="accent1"/>
            </a:solidFill>
            <a:ln>
              <a:noFill/>
            </a:ln>
            <a:effectLst/>
          </c:spPr>
          <c:invertIfNegative val="0"/>
          <c:dLbls>
            <c:delete val="1"/>
          </c:dLbls>
          <c:errBars>
            <c:errBarType val="both"/>
            <c:errValType val="cust"/>
            <c:noEndCap val="0"/>
            <c:plus>
              <c:numRef>
                <c:f>维生素!$O$21:$Q$21</c:f>
                <c:numCache>
                  <c:formatCode>General</c:formatCode>
                  <c:ptCount val="3"/>
                  <c:pt idx="0">
                    <c:v>0.217328754286251</c:v>
                  </c:pt>
                  <c:pt idx="1">
                    <c:v>0.278448080139428</c:v>
                  </c:pt>
                  <c:pt idx="2">
                    <c:v>1.28625935957591</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维生素!$L$13:$N$13</c:f>
              <c:numCache>
                <c:formatCode>####.0000</c:formatCode>
                <c:ptCount val="3"/>
                <c:pt idx="0">
                  <c:v>0.399347826086957</c:v>
                </c:pt>
                <c:pt idx="1">
                  <c:v>0.255</c:v>
                </c:pt>
                <c:pt idx="2" c:formatCode="###0.0000">
                  <c:v>2.3145652173913</c:v>
                </c:pt>
              </c:numCache>
            </c:numRef>
          </c:val>
        </c:ser>
        <c:ser>
          <c:idx val="1"/>
          <c:order val="1"/>
          <c:tx>
            <c:strRef>
              <c:f>维生素!$K$14</c:f>
              <c:strCache>
                <c:ptCount val="1"/>
                <c:pt idx="0">
                  <c:v>准格尔旗</c:v>
                </c:pt>
              </c:strCache>
            </c:strRef>
          </c:tx>
          <c:spPr>
            <a:solidFill>
              <a:schemeClr val="accent2"/>
            </a:solidFill>
            <a:ln>
              <a:noFill/>
            </a:ln>
            <a:effectLst/>
          </c:spPr>
          <c:invertIfNegative val="0"/>
          <c:dLbls>
            <c:delete val="1"/>
          </c:dLbls>
          <c:errBars>
            <c:errBarType val="both"/>
            <c:errValType val="cust"/>
            <c:noEndCap val="0"/>
            <c:plus>
              <c:numRef>
                <c:f>维生素!$O$22:$Q$22</c:f>
                <c:numCache>
                  <c:formatCode>General</c:formatCode>
                  <c:ptCount val="3"/>
                  <c:pt idx="0">
                    <c:v>0.238452004532586</c:v>
                  </c:pt>
                  <c:pt idx="1">
                    <c:v>0.278507929270724</c:v>
                  </c:pt>
                  <c:pt idx="2">
                    <c:v>1.0557397387668</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维生素!$L$14:$N$14</c:f>
              <c:numCache>
                <c:formatCode>####.0000</c:formatCode>
                <c:ptCount val="3"/>
                <c:pt idx="0">
                  <c:v>0.550892857142857</c:v>
                </c:pt>
                <c:pt idx="1">
                  <c:v>0.2775</c:v>
                </c:pt>
                <c:pt idx="2" c:formatCode="###0.0000">
                  <c:v>1.43037037037037</c:v>
                </c:pt>
              </c:numCache>
            </c:numRef>
          </c:val>
        </c:ser>
        <c:ser>
          <c:idx val="2"/>
          <c:order val="2"/>
          <c:tx>
            <c:strRef>
              <c:f>维生素!$K$15</c:f>
              <c:strCache>
                <c:ptCount val="1"/>
                <c:pt idx="0">
                  <c:v>赤峰</c:v>
                </c:pt>
              </c:strCache>
            </c:strRef>
          </c:tx>
          <c:spPr>
            <a:solidFill>
              <a:schemeClr val="accent3"/>
            </a:solidFill>
            <a:ln>
              <a:noFill/>
            </a:ln>
            <a:effectLst/>
          </c:spPr>
          <c:invertIfNegative val="0"/>
          <c:dLbls>
            <c:delete val="1"/>
          </c:dLbls>
          <c:errBars>
            <c:errBarType val="both"/>
            <c:errValType val="cust"/>
            <c:noEndCap val="0"/>
            <c:plus>
              <c:numRef>
                <c:f>维生素!$O$23:$Q$23</c:f>
                <c:numCache>
                  <c:formatCode>General</c:formatCode>
                  <c:ptCount val="3"/>
                  <c:pt idx="0">
                    <c:v>0.139417483933362</c:v>
                  </c:pt>
                  <c:pt idx="1">
                    <c:v>0.183341211951923</c:v>
                  </c:pt>
                  <c:pt idx="2">
                    <c:v>1.88094414313281</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维生素!$L$15:$N$15</c:f>
              <c:numCache>
                <c:formatCode>####.0000</c:formatCode>
                <c:ptCount val="3"/>
                <c:pt idx="0">
                  <c:v>0.315523364485981</c:v>
                </c:pt>
                <c:pt idx="1">
                  <c:v>0.1784</c:v>
                </c:pt>
                <c:pt idx="2" c:formatCode="###0.0000">
                  <c:v>2.63171495327103</c:v>
                </c:pt>
              </c:numCache>
            </c:numRef>
          </c:val>
        </c:ser>
        <c:ser>
          <c:idx val="3"/>
          <c:order val="3"/>
          <c:tx>
            <c:strRef>
              <c:f>维生素!$K$16</c:f>
              <c:strCache>
                <c:ptCount val="1"/>
                <c:pt idx="0">
                  <c:v>通辽奈曼</c:v>
                </c:pt>
              </c:strCache>
            </c:strRef>
          </c:tx>
          <c:spPr>
            <a:solidFill>
              <a:schemeClr val="accent4"/>
            </a:solidFill>
            <a:ln>
              <a:noFill/>
            </a:ln>
            <a:effectLst/>
          </c:spPr>
          <c:invertIfNegative val="0"/>
          <c:dLbls>
            <c:delete val="1"/>
          </c:dLbls>
          <c:errBars>
            <c:errBarType val="both"/>
            <c:errValType val="cust"/>
            <c:noEndCap val="0"/>
            <c:plus>
              <c:numRef>
                <c:f>维生素!$O$24:$Q$24</c:f>
                <c:numCache>
                  <c:formatCode>General</c:formatCode>
                  <c:ptCount val="3"/>
                  <c:pt idx="0">
                    <c:v>0.191291364423335</c:v>
                  </c:pt>
                  <c:pt idx="1">
                    <c:v>0.573258231515257</c:v>
                  </c:pt>
                  <c:pt idx="2">
                    <c:v>2.8527608426905</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维生素!$L$16:$N$16</c:f>
              <c:numCache>
                <c:formatCode>####.0000</c:formatCode>
                <c:ptCount val="3"/>
                <c:pt idx="0">
                  <c:v>0.352111764705882</c:v>
                </c:pt>
                <c:pt idx="1">
                  <c:v>0.7375</c:v>
                </c:pt>
                <c:pt idx="2" c:formatCode="###0.0000">
                  <c:v>3.84569411764706</c:v>
                </c:pt>
              </c:numCache>
            </c:numRef>
          </c:val>
        </c:ser>
        <c:ser>
          <c:idx val="4"/>
          <c:order val="4"/>
          <c:tx>
            <c:strRef>
              <c:f>维生素!$K$17</c:f>
              <c:strCache>
                <c:ptCount val="1"/>
                <c:pt idx="0">
                  <c:v>兴安盟</c:v>
                </c:pt>
              </c:strCache>
            </c:strRef>
          </c:tx>
          <c:spPr>
            <a:solidFill>
              <a:schemeClr val="accent5"/>
            </a:solidFill>
            <a:ln>
              <a:noFill/>
            </a:ln>
            <a:effectLst/>
          </c:spPr>
          <c:invertIfNegative val="0"/>
          <c:dLbls>
            <c:delete val="1"/>
          </c:dLbls>
          <c:errBars>
            <c:errBarType val="both"/>
            <c:errValType val="cust"/>
            <c:noEndCap val="0"/>
            <c:plus>
              <c:numRef>
                <c:f>维生素!$O$25:$Q$25</c:f>
                <c:numCache>
                  <c:formatCode>General</c:formatCode>
                  <c:ptCount val="3"/>
                  <c:pt idx="0">
                    <c:v>0.250458770236211</c:v>
                  </c:pt>
                  <c:pt idx="1">
                    <c:v>0.351445992599554</c:v>
                  </c:pt>
                  <c:pt idx="2">
                    <c:v>1.43038077252589</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维生素!$L$17:$N$17</c:f>
              <c:numCache>
                <c:formatCode>####.0000</c:formatCode>
                <c:ptCount val="3"/>
                <c:pt idx="0">
                  <c:v>0.464705882352941</c:v>
                </c:pt>
                <c:pt idx="1">
                  <c:v>0.298571428571429</c:v>
                </c:pt>
                <c:pt idx="2" c:formatCode="###0.0000">
                  <c:v>3.18617647058823</c:v>
                </c:pt>
              </c:numCache>
            </c:numRef>
          </c:val>
        </c:ser>
        <c:ser>
          <c:idx val="5"/>
          <c:order val="5"/>
          <c:tx>
            <c:strRef>
              <c:f>维生素!$K$18</c:f>
              <c:strCache>
                <c:ptCount val="1"/>
                <c:pt idx="0">
                  <c:v>河北蔚县</c:v>
                </c:pt>
              </c:strCache>
            </c:strRef>
          </c:tx>
          <c:spPr>
            <a:solidFill>
              <a:schemeClr val="accent6"/>
            </a:solidFill>
            <a:ln>
              <a:noFill/>
            </a:ln>
            <a:effectLst/>
          </c:spPr>
          <c:invertIfNegative val="0"/>
          <c:dLbls>
            <c:delete val="1"/>
          </c:dLbls>
          <c:errBars>
            <c:errBarType val="both"/>
            <c:errValType val="cust"/>
            <c:noEndCap val="0"/>
            <c:plus>
              <c:numRef>
                <c:f>维生素!$O$26:$Q$26</c:f>
                <c:numCache>
                  <c:formatCode>General</c:formatCode>
                  <c:ptCount val="3"/>
                  <c:pt idx="0">
                    <c:v>0.0712607552450522</c:v>
                  </c:pt>
                  <c:pt idx="2">
                    <c:v>1.1622076693374</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维生素!$L$18:$N$18</c:f>
              <c:numCache>
                <c:formatCode>####.0000</c:formatCode>
                <c:ptCount val="3"/>
                <c:pt idx="0">
                  <c:v>0.262666666666667</c:v>
                </c:pt>
                <c:pt idx="2" c:formatCode="###0.0000">
                  <c:v>3.16466666666667</c:v>
                </c:pt>
              </c:numCache>
            </c:numRef>
          </c:val>
        </c:ser>
        <c:ser>
          <c:idx val="6"/>
          <c:order val="6"/>
          <c:tx>
            <c:strRef>
              <c:f>维生素!$K$19</c:f>
              <c:strCache>
                <c:ptCount val="1"/>
                <c:pt idx="0">
                  <c:v>山西沁州</c:v>
                </c:pt>
              </c:strCache>
            </c:strRef>
          </c:tx>
          <c:spPr>
            <a:solidFill>
              <a:schemeClr val="accent1">
                <a:lumMod val="60000"/>
              </a:schemeClr>
            </a:solidFill>
            <a:ln>
              <a:noFill/>
            </a:ln>
            <a:effectLst/>
          </c:spPr>
          <c:invertIfNegative val="0"/>
          <c:dLbls>
            <c:delete val="1"/>
          </c:dLbls>
          <c:errBars>
            <c:errBarType val="both"/>
            <c:errValType val="cust"/>
            <c:noEndCap val="0"/>
            <c:plus>
              <c:numRef>
                <c:f>维生素!$O$27:$Q$27</c:f>
                <c:numCache>
                  <c:formatCode>General</c:formatCode>
                  <c:ptCount val="3"/>
                  <c:pt idx="0">
                    <c:v>0.183291245792901</c:v>
                  </c:pt>
                  <c:pt idx="1">
                    <c:v>0.0404011272398566</c:v>
                  </c:pt>
                  <c:pt idx="2">
                    <c:v>1.67275205664082</c:v>
                  </c:pt>
                </c:numCache>
              </c:numRef>
            </c:plus>
            <c:minus>
              <c:numLit>
                <c:formatCode>General</c:formatCode>
                <c:ptCount val="1"/>
                <c:pt idx="0">
                  <c:v>1</c:v>
                </c:pt>
              </c:numLit>
            </c:minus>
            <c:spPr>
              <a:noFill/>
              <a:ln w="9525" cap="flat" cmpd="sng" algn="ctr">
                <a:solidFill>
                  <a:schemeClr val="bg1">
                    <a:lumMod val="85000"/>
                  </a:schemeClr>
                </a:solidFill>
                <a:prstDash val="solid"/>
                <a:round/>
              </a:ln>
              <a:effectLst/>
            </c:spPr>
          </c:errBars>
          <c:cat>
            <c:strRef>
              <c:f>维生素!$L$12:$N$12</c:f>
              <c:strCache>
                <c:ptCount val="3"/>
                <c:pt idx="0">
                  <c:v>VD2</c:v>
                </c:pt>
                <c:pt idx="1">
                  <c:v>VD3</c:v>
                </c:pt>
                <c:pt idx="2">
                  <c:v>VE</c:v>
                </c:pt>
              </c:strCache>
            </c:strRef>
          </c:cat>
          <c:val>
            <c:numRef>
              <c:f>维生素!$L$19:$N$19</c:f>
              <c:numCache>
                <c:formatCode>####.0000</c:formatCode>
                <c:ptCount val="3"/>
                <c:pt idx="0">
                  <c:v>0.406737254901961</c:v>
                </c:pt>
                <c:pt idx="1">
                  <c:v>0.0871428571428571</c:v>
                </c:pt>
                <c:pt idx="2" c:formatCode="###0.0000">
                  <c:v>2.29599803921569</c:v>
                </c:pt>
              </c:numCache>
            </c:numRef>
          </c:val>
        </c:ser>
        <c:dLbls>
          <c:showLegendKey val="0"/>
          <c:showVal val="0"/>
          <c:showCatName val="0"/>
          <c:showSerName val="0"/>
          <c:showPercent val="0"/>
          <c:showBubbleSize val="0"/>
        </c:dLbls>
        <c:gapWidth val="219"/>
        <c:overlap val="-27"/>
        <c:axId val="158598272"/>
        <c:axId val="158599808"/>
      </c:barChart>
      <c:catAx>
        <c:axId val="15859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599808"/>
        <c:crosses val="autoZero"/>
        <c:auto val="1"/>
        <c:lblAlgn val="ctr"/>
        <c:lblOffset val="100"/>
        <c:noMultiLvlLbl val="0"/>
      </c:catAx>
      <c:valAx>
        <c:axId val="158599808"/>
        <c:scaling>
          <c:orientation val="minMax"/>
          <c:max val="4"/>
          <c:min val="0"/>
        </c:scaling>
        <c:delete val="0"/>
        <c:axPos val="l"/>
        <c:numFmt formatCode="####.00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598272"/>
        <c:crosses val="autoZero"/>
        <c:crossBetween val="between"/>
        <c:majorUnit val="1"/>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b78ec9d-bf79-4219-8155-3ca889b48b56}"/>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PUFA/SFA</a:t>
            </a:r>
            <a:endParaRPr lang="zh-CN" altLang="en-US"/>
          </a:p>
        </c:rich>
      </c:tx>
      <c:layout/>
      <c:overlay val="0"/>
      <c:spPr>
        <a:noFill/>
        <a:ln>
          <a:noFill/>
        </a:ln>
        <a:effectLst/>
      </c:spPr>
    </c:title>
    <c:autoTitleDeleted val="0"/>
    <c:plotArea>
      <c:layout/>
      <c:barChart>
        <c:barDir val="col"/>
        <c:grouping val="clustered"/>
        <c:varyColors val="0"/>
        <c:ser>
          <c:idx val="0"/>
          <c:order val="0"/>
          <c:tx>
            <c:strRef>
              <c:f>脂肪酸分析!$P$47</c:f>
              <c:strCache>
                <c:ptCount val="1"/>
                <c:pt idx="0">
                  <c:v>清水河县</c:v>
                </c:pt>
              </c:strCache>
            </c:strRef>
          </c:tx>
          <c:spPr>
            <a:solidFill>
              <a:schemeClr val="accent1"/>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脂肪酸分析!$Q$47:$S$47</c:f>
              <c:numCache>
                <c:formatCode>###0.000</c:formatCode>
                <c:ptCount val="3"/>
                <c:pt idx="0">
                  <c:v>0.125207692307692</c:v>
                </c:pt>
                <c:pt idx="1">
                  <c:v>0.147730769230769</c:v>
                </c:pt>
                <c:pt idx="2" c:formatCode="0.00">
                  <c:v>0.847539703202291</c:v>
                </c:pt>
              </c:numCache>
            </c:numRef>
          </c:val>
        </c:ser>
        <c:ser>
          <c:idx val="1"/>
          <c:order val="1"/>
          <c:tx>
            <c:strRef>
              <c:f>脂肪酸分析!$P$48</c:f>
              <c:strCache>
                <c:ptCount val="1"/>
                <c:pt idx="0">
                  <c:v>准格尔旗</c:v>
                </c:pt>
              </c:strCache>
            </c:strRef>
          </c:tx>
          <c:spPr>
            <a:solidFill>
              <a:schemeClr val="accent2"/>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脂肪酸分析!$Q$48:$S$48</c:f>
              <c:numCache>
                <c:formatCode>###0.000</c:formatCode>
                <c:ptCount val="3"/>
                <c:pt idx="0">
                  <c:v>0.14162</c:v>
                </c:pt>
                <c:pt idx="1">
                  <c:v>0.2054</c:v>
                </c:pt>
                <c:pt idx="2" c:formatCode="0.00">
                  <c:v>0.689483933787731</c:v>
                </c:pt>
              </c:numCache>
            </c:numRef>
          </c:val>
        </c:ser>
        <c:ser>
          <c:idx val="2"/>
          <c:order val="2"/>
          <c:tx>
            <c:strRef>
              <c:f>脂肪酸分析!$P$49</c:f>
              <c:strCache>
                <c:ptCount val="1"/>
                <c:pt idx="0">
                  <c:v>赤峰</c:v>
                </c:pt>
              </c:strCache>
            </c:strRef>
          </c:tx>
          <c:spPr>
            <a:solidFill>
              <a:schemeClr val="accent3"/>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脂肪酸分析!$Q$49:$S$49</c:f>
              <c:numCache>
                <c:formatCode>###0.000</c:formatCode>
                <c:ptCount val="3"/>
                <c:pt idx="0">
                  <c:v>0.133304109589041</c:v>
                </c:pt>
                <c:pt idx="1">
                  <c:v>0.211465753424657</c:v>
                </c:pt>
                <c:pt idx="2" c:formatCode="0.00">
                  <c:v>0.63038155081946</c:v>
                </c:pt>
              </c:numCache>
            </c:numRef>
          </c:val>
        </c:ser>
        <c:ser>
          <c:idx val="3"/>
          <c:order val="3"/>
          <c:tx>
            <c:strRef>
              <c:f>脂肪酸分析!$P$50</c:f>
              <c:strCache>
                <c:ptCount val="1"/>
                <c:pt idx="0">
                  <c:v>通辽奈曼</c:v>
                </c:pt>
              </c:strCache>
            </c:strRef>
          </c:tx>
          <c:spPr>
            <a:solidFill>
              <a:schemeClr val="accent4"/>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脂肪酸分析!$Q$50:$S$50</c:f>
              <c:numCache>
                <c:formatCode>###0.000</c:formatCode>
                <c:ptCount val="3"/>
                <c:pt idx="0">
                  <c:v>0.1160625</c:v>
                </c:pt>
                <c:pt idx="1">
                  <c:v>0.20275</c:v>
                </c:pt>
                <c:pt idx="2" c:formatCode="0.00">
                  <c:v>0.572441430332922</c:v>
                </c:pt>
              </c:numCache>
            </c:numRef>
          </c:val>
        </c:ser>
        <c:ser>
          <c:idx val="4"/>
          <c:order val="4"/>
          <c:tx>
            <c:strRef>
              <c:f>脂肪酸分析!$P$51</c:f>
              <c:strCache>
                <c:ptCount val="1"/>
                <c:pt idx="0">
                  <c:v>兴安盟</c:v>
                </c:pt>
              </c:strCache>
            </c:strRef>
          </c:tx>
          <c:spPr>
            <a:solidFill>
              <a:schemeClr val="accent5"/>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脂肪酸分析!$Q$51:$S$51</c:f>
              <c:numCache>
                <c:formatCode>###0.000</c:formatCode>
                <c:ptCount val="3"/>
                <c:pt idx="0">
                  <c:v>0.0825166666666667</c:v>
                </c:pt>
                <c:pt idx="1">
                  <c:v>0.144833333333333</c:v>
                </c:pt>
                <c:pt idx="2" c:formatCode="0.00">
                  <c:v>0.569735327963176</c:v>
                </c:pt>
              </c:numCache>
            </c:numRef>
          </c:val>
        </c:ser>
        <c:ser>
          <c:idx val="5"/>
          <c:order val="5"/>
          <c:tx>
            <c:strRef>
              <c:f>脂肪酸分析!$P$52</c:f>
              <c:strCache>
                <c:ptCount val="1"/>
                <c:pt idx="0">
                  <c:v>河北蔚县</c:v>
                </c:pt>
              </c:strCache>
            </c:strRef>
          </c:tx>
          <c:spPr>
            <a:solidFill>
              <a:schemeClr val="accent6"/>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脂肪酸分析!$Q$52:$S$52</c:f>
              <c:numCache>
                <c:formatCode>###0.000</c:formatCode>
                <c:ptCount val="3"/>
                <c:pt idx="0">
                  <c:v>0.104306666666667</c:v>
                </c:pt>
                <c:pt idx="1">
                  <c:v>0.190133333333333</c:v>
                </c:pt>
                <c:pt idx="2" c:formatCode="0.00">
                  <c:v>0.54859747545582</c:v>
                </c:pt>
              </c:numCache>
            </c:numRef>
          </c:val>
        </c:ser>
        <c:ser>
          <c:idx val="6"/>
          <c:order val="6"/>
          <c:tx>
            <c:strRef>
              <c:f>脂肪酸分析!$P$53</c:f>
              <c:strCache>
                <c:ptCount val="1"/>
                <c:pt idx="0">
                  <c:v>山西沁州</c:v>
                </c:pt>
              </c:strCache>
            </c:strRef>
          </c:tx>
          <c:spPr>
            <a:solidFill>
              <a:schemeClr val="accent1">
                <a:lumMod val="60000"/>
              </a:schemeClr>
            </a:solidFill>
            <a:ln>
              <a:noFill/>
            </a:ln>
            <a:effectLst/>
          </c:spPr>
          <c:invertIfNegative val="0"/>
          <c:dLbls>
            <c:delete val="1"/>
          </c:dLbls>
          <c:cat>
            <c:strRef>
              <c:f>脂肪酸分析!$Q$46:$S$46</c:f>
              <c:strCache>
                <c:ptCount val="3"/>
                <c:pt idx="0">
                  <c:v>不饱和脂肪酸（1‰）</c:v>
                </c:pt>
                <c:pt idx="1">
                  <c:v>饱和脂肪酸（%）</c:v>
                </c:pt>
                <c:pt idx="2">
                  <c:v>PUFA/SFA*0.1</c:v>
                </c:pt>
              </c:strCache>
            </c:strRef>
          </c:cat>
          <c:val>
            <c:numRef>
              <c:f>脂肪酸分析!$Q$53:$S$53</c:f>
              <c:numCache>
                <c:formatCode>###0.000</c:formatCode>
                <c:ptCount val="3"/>
                <c:pt idx="0">
                  <c:v>0.154541379310345</c:v>
                </c:pt>
                <c:pt idx="1">
                  <c:v>0.263413793103448</c:v>
                </c:pt>
                <c:pt idx="2" c:formatCode="0.00">
                  <c:v>0.586686739101977</c:v>
                </c:pt>
              </c:numCache>
            </c:numRef>
          </c:val>
        </c:ser>
        <c:dLbls>
          <c:showLegendKey val="0"/>
          <c:showVal val="0"/>
          <c:showCatName val="0"/>
          <c:showSerName val="0"/>
          <c:showPercent val="0"/>
          <c:showBubbleSize val="0"/>
        </c:dLbls>
        <c:gapWidth val="219"/>
        <c:overlap val="-27"/>
        <c:axId val="155779456"/>
        <c:axId val="155780992"/>
      </c:barChart>
      <c:catAx>
        <c:axId val="155779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5780992"/>
        <c:crosses val="autoZero"/>
        <c:auto val="1"/>
        <c:lblAlgn val="ctr"/>
        <c:lblOffset val="100"/>
        <c:noMultiLvlLbl val="0"/>
      </c:catAx>
      <c:valAx>
        <c:axId val="155780992"/>
        <c:scaling>
          <c:orientation val="minMax"/>
        </c:scaling>
        <c:delete val="0"/>
        <c:axPos val="l"/>
        <c:numFmt formatCode="###0.0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5779456"/>
        <c:crosses val="autoZero"/>
        <c:crossBetween val="between"/>
        <c:majorUnit val="0.3"/>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548658f-8959-4933-b03d-df86ea6d39f4}"/>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2481</Words>
  <Characters>2554</Characters>
  <Lines>8</Lines>
  <Paragraphs>2</Paragraphs>
  <TotalTime>0</TotalTime>
  <ScaleCrop>false</ScaleCrop>
  <LinksUpToDate>false</LinksUpToDate>
  <CharactersWithSpaces>2751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2020-04-16T08:00:00Z</dcterms:created>
  <dc:creator>CLMB</dc:creator>
  <cp:lastModifiedBy>moon</cp:lastModifiedBy>
  <cp:lastPrinted>2020-05-07T00:59:00Z</cp:lastPrinted>
  <dcterms:modified xsi:type="dcterms:W3CDTF">2025-01-09T01:43:50Z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BAC166BFFF9045198B671ED017B3DF70_13</vt:lpwstr>
  </property>
  <property fmtid="{D5CDD505-2E9C-101B-9397-08002B2CF9AE}" pid="4" name="KSOTemplateDocerSaveRecord">
    <vt:lpwstr>eyJoZGlkIjoiZWU2NGEwYzMwM2ZjMDI1MTZhOTIzYzczNWZlYWU1Y2IiLCJ1c2VySWQiOiIxMTQyNjgzMTExIn0=</vt:lpwstr>
  </property>
</Properties>
</file>